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6"/>
        </w:rPr>
        <w:t>Semantic Strands as a Native Relational Alternative to Vector Embeddings: A Typed Codon Codebook Architecture for Interpretable Semantic Retrieval</w:t>
      </w:r>
    </w:p>
    <w:p>
      <w:pPr>
        <w:spacing w:after="160"/>
        <w:jc w:val="center"/>
      </w:pPr>
      <w:r>
        <w:rPr>
          <w:rFonts w:ascii="Times New Roman" w:hAnsi="Times New Roman"/>
          <w:sz w:val="24"/>
        </w:rPr>
        <w:t>Master's Level Research Paper</w:t>
      </w:r>
    </w:p>
    <w:p>
      <w:pPr>
        <w:spacing w:after="160"/>
        <w:jc w:val="center"/>
      </w:pPr>
      <w:r>
        <w:rPr>
          <w:rFonts w:ascii="Times New Roman" w:hAnsi="Times New Roman"/>
          <w:sz w:val="24"/>
        </w:rPr>
        <w:t>Student-Researcher</w:t>
      </w:r>
    </w:p>
    <w:p>
      <w:pPr>
        <w:spacing w:after="160"/>
        <w:jc w:val="center"/>
      </w:pPr>
      <w:r>
        <w:rPr>
          <w:rFonts w:ascii="Times New Roman" w:hAnsi="Times New Roman"/>
          <w:sz w:val="24"/>
        </w:rPr>
        <w:t>Independent Study in Semantic Representation and Retrieval Systems</w:t>
      </w:r>
    </w:p>
    <w:p>
      <w:pPr>
        <w:spacing w:after="160"/>
        <w:jc w:val="center"/>
      </w:pPr>
      <w:r>
        <w:rPr>
          <w:rFonts w:ascii="Times New Roman" w:hAnsi="Times New Roman"/>
          <w:sz w:val="24"/>
        </w:rPr>
        <w:t>April 29, 2026</w:t>
      </w:r>
    </w:p>
    <w:p>
      <w:pPr>
        <w:spacing w:before="1200"/>
        <w:jc w:val="center"/>
      </w:pPr>
      <w:r>
        <w:rPr>
          <w:i/>
          <w:sz w:val="22"/>
        </w:rPr>
        <w:t>Prepared from the codex/v3-typed-relations-prototype branch of the Strands repository.</w:t>
      </w:r>
    </w:p>
    <w:p>
      <w:r>
        <w:br w:type="page"/>
      </w:r>
    </w:p>
    <w:p>
      <w:pPr>
        <w:pStyle w:val="Heading1"/>
      </w:pPr>
      <w:r>
        <w:t>Abstract</w:t>
      </w:r>
    </w:p>
    <w:p>
      <w:pPr>
        <w:spacing w:after="120" w:line="259" w:lineRule="auto"/>
        <w:ind w:firstLine="360"/>
      </w:pPr>
      <w:r>
        <w:t>This paper presents Semantic Strands, a deterministic representation architecture that encodes meaning as compact, inspectable byte sequences rather than dense floating-point embedding vectors. The central research question is whether a strand-native system can narrow or exceed embedding-model performance while preserving interpretability, stable indexing, low storage cost, and CPU-only comparison. The work described here extends the strand/codon architecture with typed relational slots, adapter-specific scoring profiles, code-aware phrase frames, and a distillation pipeline that converts public knowledge resources into native codebook structure. ConceptNet 5.7 assertions provide typed commonsense relations, SWOW free-association norms provide human association structure, and ConceptNet Numberbatch 19.08 was tested as an auxiliary resource but not retained in the final codebook because it degraded the benchmark tradeoff. The final branch achieves 8 wins, 4 ties, and 1 loss across 13 benchmark tasks against GloVe-300, with an average score of 0.5669 versus 0.5216 for the baseline. The remaining major gap is MEN-3000, where dense distributional similarity remains substantially stronger. The results suggest that a structured codebook can compete with and often outperform static embeddings when external resources are translated into native typed codon relations instead of used as runtime sidecar models.</w:t>
      </w:r>
    </w:p>
    <w:p>
      <w:pPr>
        <w:pStyle w:val="Heading1"/>
      </w:pPr>
      <w:r>
        <w:t>1. Introduction</w:t>
      </w:r>
    </w:p>
    <w:p>
      <w:pPr>
        <w:spacing w:after="120" w:line="259" w:lineRule="auto"/>
        <w:ind w:firstLine="360"/>
      </w:pPr>
      <w:r>
        <w:t>Dense vector embeddings have become a default substrate for semantic search, retrieval, clustering, and document comparison. Their practical appeal is clear: a learned vector space gives a uniform numerical interface for comparing words, sentences, code fragments, and documents. Yet this uniformity also creates several engineering and scientific limitations. Vectors are large relative to symbolic encodings, comparison is usually opaque, re-indexing is required when a model changes, and semantic failures are difficult to repair locally because meaning is distributed across hundreds or thousands of learned dimensions.</w:t>
      </w:r>
    </w:p>
    <w:p>
      <w:pPr>
        <w:spacing w:after="120" w:line="259" w:lineRule="auto"/>
        <w:ind w:firstLine="360"/>
      </w:pPr>
      <w:r>
        <w:t>Semantic Strands begins from the opposite premise. Instead of asking a model to learn an implicit semantic manifold, the system assigns every known token a compact semantic address called a codon. A strand is an ordered sequence of codon entries augmented by a shade byte and, in the branch studied here, typed relation slots. The resulting representation is closer to a biological metaphor than a geometric one: semantic identity is encoded as a structured sequence, while relationships between concepts are carried by short, local relational annotations.</w:t>
      </w:r>
    </w:p>
    <w:p>
      <w:pPr>
        <w:spacing w:after="120" w:line="259" w:lineRule="auto"/>
        <w:ind w:firstLine="360"/>
      </w:pPr>
      <w:r>
        <w:t>The objective of this research pass was not simply to add external data to a symbolic system. The constraint was stronger: outside resources could be used only if their information was incorporated into the strand/codon architecture itself. At comparison time, the algorithm must operate on the encoded strands and their native fields rather than consulting a vector model, graph database, or embedding sidecar. This constraint is important because it protects the original purpose of the architecture: deterministic, explainable, low-footprint semantic retrieval.</w:t>
      </w:r>
    </w:p>
    <w:p>
      <w:pPr>
        <w:pStyle w:val="Heading1"/>
      </w:pPr>
      <w:r>
        <w:t>2. Background and Related Work</w:t>
      </w:r>
    </w:p>
    <w:p>
      <w:pPr>
        <w:spacing w:after="120" w:line="259" w:lineRule="auto"/>
        <w:ind w:firstLine="360"/>
      </w:pPr>
      <w:r>
        <w:t>GloVe represents the embedding baseline in this study. The original GloVe model learns word vectors from global word co-occurrence statistics, and the Stanford release includes 300-dimensional vectors trained on Wikipedia 2014 and Gigaword 5 [1, 2]. GloVe is an appropriate comparison target because it is static, widely used, and strong on word similarity datasets. Unlike contextual transformer embeddings, GloVe does not depend on a heavy inference stack, making it a fairer baseline for a compact deterministic representation.</w:t>
      </w:r>
    </w:p>
    <w:p>
      <w:pPr>
        <w:spacing w:after="120" w:line="259" w:lineRule="auto"/>
        <w:ind w:firstLine="360"/>
      </w:pPr>
      <w:r>
        <w:t>ConceptNet contributes a complementary tradition: relational commonsense knowledge. ConceptNet connects words and phrases through labeled, weighted edges such as Synonym, RelatedTo, IsA, UsedFor, HasContext, Antonym, and Causes. Its published description emphasizes that distributional semantics alone and narrow lexical resources alone miss different kinds of meaning, while relational knowledge can improve language understanding [3]. This work uses ConceptNet 5.7 assertion dumps as a typed relation source and maps those relation labels into strand-native relation classes.</w:t>
      </w:r>
    </w:p>
    <w:p>
      <w:pPr>
        <w:spacing w:after="120" w:line="259" w:lineRule="auto"/>
        <w:ind w:firstLine="360"/>
      </w:pPr>
      <w:r>
        <w:t>SWOW, the Small World of Words project, supplies human free-association norms for over 12,000 English cue words [4]. The NetSet package used here represents SWOW as a directed weighted graph of cues and associations. This resource is especially important because some benchmark datasets, particularly WordSim and MEN, reward associative relatedness rather than strict synonymy. The final system therefore treats SWOW as a source of typed ASSOCIATED codon links, not as an external graph queried during comparison.</w:t>
      </w:r>
    </w:p>
    <w:p>
      <w:pPr>
        <w:spacing w:after="120" w:line="259" w:lineRule="auto"/>
        <w:ind w:firstLine="360"/>
      </w:pPr>
      <w:r>
        <w:t>ConceptNet Numberbatch 19.08 was also evaluated. Numberbatch is a precomputed embedding release built using ConceptNet and distributional semantics, with a larger propagated vocabulary than previous releases [5]. Several distillation strategies were tested, including fill-only and competing TOPIC links. Those strategies did not improve the final tradeoff relative to the typed ConceptNet plus SWOW codebook, so Numberbatch support remains in the build pipeline but is disabled for the retained codebook.</w:t>
      </w:r>
    </w:p>
    <w:p>
      <w:pPr>
        <w:pStyle w:val="Heading1"/>
      </w:pPr>
      <w:r>
        <w:t>3. Architecture of Semantic Strands</w:t>
      </w:r>
    </w:p>
    <w:p>
      <w:pPr>
        <w:spacing w:after="120" w:line="259" w:lineRule="auto"/>
        <w:ind w:firstLine="360"/>
      </w:pPr>
      <w:r>
        <w:t>A codon is a structured semantic address. In the current implementation it is rendered as a compact code such as TC000 or PE909, where the fields correspond to domain, category, and concept. The exact taxonomy is project-specific, but the principle is stable: similarity can be computed hierarchically. Two entries with the same domain receive partial credit; entries sharing domain and category receive more; entries sharing the same concept receive still more; shade proximity can supply the final increment for near-exact semantic matches.</w:t>
      </w:r>
    </w:p>
    <w:p>
      <w:pPr>
        <w:spacing w:after="120" w:line="259" w:lineRule="auto"/>
        <w:ind w:firstLine="360"/>
      </w:pPr>
      <w:r>
        <w:t>A strand is an ordered sequence of codon entries. Each entry carries a primary codon, a shade byte, an optional original word, role metadata, and up to four typed relation slots. The relation slots are the main architectural extension studied in this paper. Instead of representing all relatedness as undifferentiated neighbor codons, each relation has a native type: RELATED, SYNONYM, ISA, PART, PROPERTY, USED_FOR, CAUSES, ENTAILS, CONTEXT, ANTONYM, ROLE, ASSOCIATED, or TOPIC. Typed relations allow a strict synonym task, a topical relatedness task, a sentence similarity task, and a code retrieval task to weight the same encoded strand differently without changing the representation.</w:t>
      </w:r>
    </w:p>
    <w:p>
      <w:pPr>
        <w:spacing w:after="120" w:line="259" w:lineRule="auto"/>
        <w:ind w:firstLine="360"/>
      </w:pPr>
      <w:r>
        <w:t>This design creates a 'faux mixture of experts' without adding a learned router or multiple runtime models. The codebook stores the same typed relation lanes for all encoded tokens. Adapter profiles then act as deterministic experts by selecting different relation weights and scoring normalization. For example, the topical adapter emphasizes ASSOCIATED and RELATED links for word relatedness, while the code-search adapter emphasizes USED_FOR, ROLE, and lexical query coverage. The sentence adapter uses symmetric coverage because sentence similarity is not a one-way retrieval problem.</w:t>
      </w:r>
    </w:p>
    <w:p>
      <w:pPr>
        <w:pStyle w:val="Heading1"/>
      </w:pPr>
      <w:r>
        <w:t>4. Codebook Construction Methodology</w:t>
      </w:r>
    </w:p>
    <w:p>
      <w:pPr>
        <w:spacing w:after="120" w:line="259" w:lineRule="auto"/>
        <w:ind w:firstLine="360"/>
      </w:pPr>
      <w:r>
        <w:t>The codebook build process begins with the existing entries in codebook_v0.1.0.json. Each word is mapped to its codon using the deterministic codebook lookup. The ConceptNet assertion stream is then scanned from the gzipped 5.7 assertion file. Only English-to-English edges are retained, and only relations with a known strand mapping are used. Each ConceptNet relation is translated into a native typed relation and multiplied by a relation-specific policy weight. For example, Synonym and SimilarTo become SYNONYM; IsA and InstanceOf become ISA; HasA and PartOf become PART; UsedFor and CapableOf become USED_FOR; HasContext and AtLocation become CONTEXT; Antonym and DistinctFrom become ANTONYM.</w:t>
      </w:r>
    </w:p>
    <w:p>
      <w:pPr>
        <w:spacing w:after="120" w:line="259" w:lineRule="auto"/>
        <w:ind w:firstLine="360"/>
      </w:pPr>
      <w:r>
        <w:t>The build then aggregates relation evidence at the word-to-codon level. If a ConceptNet edge connects word a to word b, and both words exist in the codebook, the codon for b becomes a candidate typed relation for a. The graph is symmetrized for comparison robustness: a useful relation can support either direction in a pairwise score. Self-codon links are skipped because exact codon agreement is already handled by the primary hierarchy score.</w:t>
      </w:r>
    </w:p>
    <w:p>
      <w:pPr>
        <w:spacing w:after="120" w:line="259" w:lineRule="auto"/>
        <w:ind w:firstLine="360"/>
      </w:pPr>
      <w:r>
        <w:t>SWOW is processed after ConceptNet. The NetSet package contains names.tsv and adjacency.tsv. names.tsv maps integer node identifiers to words; adjacency.tsv contains directed weighted association edges. The final retained configuration filters to codebook-covered endpoints, requires a minimum edge weight of 2, aggregates associations by target codon, adds a reverse contribution at 0.65 of the forward association strength, and scales SWOW evidence by 0.18. The strongest association codons are then added as ASSOCIATED relation candidates.</w:t>
      </w:r>
    </w:p>
    <w:p>
      <w:pPr>
        <w:spacing w:after="120" w:line="259" w:lineRule="auto"/>
        <w:ind w:firstLine="360"/>
      </w:pPr>
      <w:r>
        <w:t>After all sources are aggregated, the builder selects the top four relation slots per word and quantizes each weight to an unsigned byte relative to the strongest candidate for that word. This is a lossy step by design. The purpose is not to preserve an entire knowledge graph; it is to stamp the most useful relational structure directly into each codon entry. The final codebook contains 106,881 entries with typed relation slots. The most common relation classes are RELATED, SYNONYM, ISA, ASSOCIATED, CONTEXT, PART, ANTONYM, USED_FOR, CAUSES, PROPERTY, and ENTAILS.</w:t>
      </w:r>
    </w:p>
    <w:p>
      <w:pPr>
        <w:pStyle w:val="Heading2"/>
      </w:pPr>
      <w:r>
        <w:t>Relation Translation Policy</w:t>
      </w:r>
    </w:p>
    <w:tbl>
      <w:tblPr>
        <w:tblStyle w:val="TableGrid"/>
        <w:tblW w:type="auto" w:w="0"/>
        <w:tblLook w:firstColumn="1" w:firstRow="1" w:lastColumn="0" w:lastRow="0" w:noHBand="0" w:noVBand="1" w:val="04A0"/>
      </w:tblPr>
      <w:tblGrid>
        <w:gridCol w:w="3120"/>
        <w:gridCol w:w="3120"/>
        <w:gridCol w:w="3120"/>
      </w:tblGrid>
      <w:tr>
        <w:tc>
          <w:tcPr>
            <w:tcW w:type="dxa" w:w="3120"/>
          </w:tcPr>
          <w:p>
            <w:r>
              <w:t>External source relation</w:t>
            </w:r>
          </w:p>
        </w:tc>
        <w:tc>
          <w:tcPr>
            <w:tcW w:type="dxa" w:w="3120"/>
          </w:tcPr>
          <w:p>
            <w:r>
              <w:t>Native relation</w:t>
            </w:r>
          </w:p>
        </w:tc>
        <w:tc>
          <w:tcPr>
            <w:tcW w:type="dxa" w:w="3120"/>
          </w:tcPr>
          <w:p>
            <w:r>
              <w:t>Purpose</w:t>
            </w:r>
          </w:p>
        </w:tc>
      </w:tr>
      <w:tr>
        <w:tc>
          <w:tcPr>
            <w:tcW w:type="dxa" w:w="3120"/>
          </w:tcPr>
          <w:p>
            <w:r>
              <w:t>Synonym, SimilarTo, DefinedAs, FormOf</w:t>
            </w:r>
          </w:p>
        </w:tc>
        <w:tc>
          <w:tcPr>
            <w:tcW w:type="dxa" w:w="3120"/>
          </w:tcPr>
          <w:p>
            <w:r>
              <w:t>SYN</w:t>
            </w:r>
          </w:p>
        </w:tc>
        <w:tc>
          <w:tcPr>
            <w:tcW w:type="dxa" w:w="3120"/>
          </w:tcPr>
          <w:p>
            <w:r>
              <w:t>Strict lexical equivalence or near-equivalence.</w:t>
            </w:r>
          </w:p>
        </w:tc>
      </w:tr>
      <w:tr>
        <w:tc>
          <w:tcPr>
            <w:tcW w:type="dxa" w:w="3120"/>
          </w:tcPr>
          <w:p>
            <w:r>
              <w:t>RelatedTo, DerivedFrom, EtymologicallyRelatedTo</w:t>
            </w:r>
          </w:p>
        </w:tc>
        <w:tc>
          <w:tcPr>
            <w:tcW w:type="dxa" w:w="3120"/>
          </w:tcPr>
          <w:p>
            <w:r>
              <w:t>RELATED</w:t>
            </w:r>
          </w:p>
        </w:tc>
        <w:tc>
          <w:tcPr>
            <w:tcW w:type="dxa" w:w="3120"/>
          </w:tcPr>
          <w:p>
            <w:r>
              <w:t>General semantic proximity.</w:t>
            </w:r>
          </w:p>
        </w:tc>
      </w:tr>
      <w:tr>
        <w:tc>
          <w:tcPr>
            <w:tcW w:type="dxa" w:w="3120"/>
          </w:tcPr>
          <w:p>
            <w:r>
              <w:t>IsA, InstanceOf, MannerOf, HasSubclass</w:t>
            </w:r>
          </w:p>
        </w:tc>
        <w:tc>
          <w:tcPr>
            <w:tcW w:type="dxa" w:w="3120"/>
          </w:tcPr>
          <w:p>
            <w:r>
              <w:t>ISA</w:t>
            </w:r>
          </w:p>
        </w:tc>
        <w:tc>
          <w:tcPr>
            <w:tcW w:type="dxa" w:w="3120"/>
          </w:tcPr>
          <w:p>
            <w:r>
              <w:t>Taxonomic or class-membership evidence.</w:t>
            </w:r>
          </w:p>
        </w:tc>
      </w:tr>
      <w:tr>
        <w:tc>
          <w:tcPr>
            <w:tcW w:type="dxa" w:w="3120"/>
          </w:tcPr>
          <w:p>
            <w:r>
              <w:t>HasA, PartOf, MadeOf</w:t>
            </w:r>
          </w:p>
        </w:tc>
        <w:tc>
          <w:tcPr>
            <w:tcW w:type="dxa" w:w="3120"/>
          </w:tcPr>
          <w:p>
            <w:r>
              <w:t>PART</w:t>
            </w:r>
          </w:p>
        </w:tc>
        <w:tc>
          <w:tcPr>
            <w:tcW w:type="dxa" w:w="3120"/>
          </w:tcPr>
          <w:p>
            <w:r>
              <w:t>Meronymy, containment, and material structure.</w:t>
            </w:r>
          </w:p>
        </w:tc>
      </w:tr>
      <w:tr>
        <w:tc>
          <w:tcPr>
            <w:tcW w:type="dxa" w:w="3120"/>
          </w:tcPr>
          <w:p>
            <w:r>
              <w:t>UsedFor, CapableOf</w:t>
            </w:r>
          </w:p>
        </w:tc>
        <w:tc>
          <w:tcPr>
            <w:tcW w:type="dxa" w:w="3120"/>
          </w:tcPr>
          <w:p>
            <w:r>
              <w:t>USED_FOR</w:t>
            </w:r>
          </w:p>
        </w:tc>
        <w:tc>
          <w:tcPr>
            <w:tcW w:type="dxa" w:w="3120"/>
          </w:tcPr>
          <w:p>
            <w:r>
              <w:t>Functional affordance and action capability.</w:t>
            </w:r>
          </w:p>
        </w:tc>
      </w:tr>
      <w:tr>
        <w:tc>
          <w:tcPr>
            <w:tcW w:type="dxa" w:w="3120"/>
          </w:tcPr>
          <w:p>
            <w:r>
              <w:t>HasContext, AtLocation</w:t>
            </w:r>
          </w:p>
        </w:tc>
        <w:tc>
          <w:tcPr>
            <w:tcW w:type="dxa" w:w="3120"/>
          </w:tcPr>
          <w:p>
            <w:r>
              <w:t>CTX</w:t>
            </w:r>
          </w:p>
        </w:tc>
        <w:tc>
          <w:tcPr>
            <w:tcW w:type="dxa" w:w="3120"/>
          </w:tcPr>
          <w:p>
            <w:r>
              <w:t>Domain, setting, or common contextual environment.</w:t>
            </w:r>
          </w:p>
        </w:tc>
      </w:tr>
      <w:tr>
        <w:tc>
          <w:tcPr>
            <w:tcW w:type="dxa" w:w="3120"/>
          </w:tcPr>
          <w:p>
            <w:r>
              <w:t>HasProperty</w:t>
            </w:r>
          </w:p>
        </w:tc>
        <w:tc>
          <w:tcPr>
            <w:tcW w:type="dxa" w:w="3120"/>
          </w:tcPr>
          <w:p>
            <w:r>
              <w:t>PROP</w:t>
            </w:r>
          </w:p>
        </w:tc>
        <w:tc>
          <w:tcPr>
            <w:tcW w:type="dxa" w:w="3120"/>
          </w:tcPr>
          <w:p>
            <w:r>
              <w:t>Attribute or descriptive property.</w:t>
            </w:r>
          </w:p>
        </w:tc>
      </w:tr>
      <w:tr>
        <w:tc>
          <w:tcPr>
            <w:tcW w:type="dxa" w:w="3120"/>
          </w:tcPr>
          <w:p>
            <w:r>
              <w:t>Causes, CausesDesire, MotivatedByGoal, HasPrerequisite</w:t>
            </w:r>
          </w:p>
        </w:tc>
        <w:tc>
          <w:tcPr>
            <w:tcW w:type="dxa" w:w="3120"/>
          </w:tcPr>
          <w:p>
            <w:r>
              <w:t>CAUSES</w:t>
            </w:r>
          </w:p>
        </w:tc>
        <w:tc>
          <w:tcPr>
            <w:tcW w:type="dxa" w:w="3120"/>
          </w:tcPr>
          <w:p>
            <w:r>
              <w:t>Causal, motivational, or precondition evidence.</w:t>
            </w:r>
          </w:p>
        </w:tc>
      </w:tr>
      <w:tr>
        <w:tc>
          <w:tcPr>
            <w:tcW w:type="dxa" w:w="3120"/>
          </w:tcPr>
          <w:p>
            <w:r>
              <w:t>HasSubevent, HasFirstSubevent, HasLastSubevent, Entails</w:t>
            </w:r>
          </w:p>
        </w:tc>
        <w:tc>
          <w:tcPr>
            <w:tcW w:type="dxa" w:w="3120"/>
          </w:tcPr>
          <w:p>
            <w:r>
              <w:t>ENTAILS</w:t>
            </w:r>
          </w:p>
        </w:tc>
        <w:tc>
          <w:tcPr>
            <w:tcW w:type="dxa" w:w="3120"/>
          </w:tcPr>
          <w:p>
            <w:r>
              <w:t>Event decomposition and implication.</w:t>
            </w:r>
          </w:p>
        </w:tc>
      </w:tr>
      <w:tr>
        <w:tc>
          <w:tcPr>
            <w:tcW w:type="dxa" w:w="3120"/>
          </w:tcPr>
          <w:p>
            <w:r>
              <w:t>Antonym, DistinctFrom</w:t>
            </w:r>
          </w:p>
        </w:tc>
        <w:tc>
          <w:tcPr>
            <w:tcW w:type="dxa" w:w="3120"/>
          </w:tcPr>
          <w:p>
            <w:r>
              <w:t>ANTI</w:t>
            </w:r>
          </w:p>
        </w:tc>
        <w:tc>
          <w:tcPr>
            <w:tcW w:type="dxa" w:w="3120"/>
          </w:tcPr>
          <w:p>
            <w:r>
              <w:t>Opposition or contradiction evidence.</w:t>
            </w:r>
          </w:p>
        </w:tc>
      </w:tr>
      <w:tr>
        <w:tc>
          <w:tcPr>
            <w:tcW w:type="dxa" w:w="3120"/>
          </w:tcPr>
          <w:p>
            <w:r>
              <w:t>SWOW directed weighted association edges</w:t>
            </w:r>
          </w:p>
        </w:tc>
        <w:tc>
          <w:tcPr>
            <w:tcW w:type="dxa" w:w="3120"/>
          </w:tcPr>
          <w:p>
            <w:r>
              <w:t>ASSOC</w:t>
            </w:r>
          </w:p>
        </w:tc>
        <w:tc>
          <w:tcPr>
            <w:tcW w:type="dxa" w:w="3120"/>
          </w:tcPr>
          <w:p>
            <w:r>
              <w:t>Human free-association relatedness compiled into codon slots.</w:t>
            </w:r>
          </w:p>
        </w:tc>
      </w:tr>
    </w:tbl>
    <w:p/>
    <w:p>
      <w:pPr>
        <w:pStyle w:val="Heading1"/>
      </w:pPr>
      <w:r>
        <w:t>5. Comparison Algorithm</w:t>
      </w:r>
    </w:p>
    <w:p>
      <w:pPr>
        <w:spacing w:after="120" w:line="259" w:lineRule="auto"/>
        <w:ind w:firstLine="360"/>
      </w:pPr>
      <w:r>
        <w:t>The comparison algorithm aligns two strands greedily. For each codon entry in the first strand, it searches for the best unused codon entry in the second strand. The pair score is the maximum of two components: a hierarchical codon score and a typed relation score, minus any antonym penalty. The hierarchy score rewards shared domain, category, and concept. The relation score rewards cases where one entry carries a typed relation pointing to the other entry's codon or where both entries share a related codon.</w:t>
      </w:r>
    </w:p>
    <w:p>
      <w:pPr>
        <w:spacing w:after="120" w:line="259" w:lineRule="auto"/>
        <w:ind w:firstLine="360"/>
      </w:pPr>
      <w:r>
        <w:t>Adapter profiles modify relation scales but do not change the encoded data. This distinction matters. The strand remains a single portable representation, while the comparison objective can differ by task. The strict profile emphasizes SYNONYM and ISA while reducing ASSOCIATED. The topical profile increases ASSOCIATED to 0.80, RELATED to 1.10, and uses relation hierarchy weight 0.40. The sentence profile uses symmetric coverage, lexical weight 0.68, relation multiplier 1.05, RELATED 0.75, SYNONYM 1.05, ASSOCIATED 0.25, and TOPIC 0.42. The code-search profile keeps query coverage and emphasizes functional and role-like relations.</w:t>
      </w:r>
    </w:p>
    <w:p>
      <w:pPr>
        <w:spacing w:after="120" w:line="259" w:lineRule="auto"/>
        <w:ind w:firstLine="360"/>
      </w:pPr>
      <w:r>
        <w:t>The branch also adds phrase frames for code and procedural language. A phrase such as 'open file' can activate a frame codon even when individual tokens alone are ambiguous. This is important for code retrieval benchmarks, where user queries are often short natural-language descriptions of operations and candidate code contains identifiers, functions, and API terms. Frames allow the architecture to encode a small number of task-level semantic units without invoking a neural code model.</w:t>
      </w:r>
    </w:p>
    <w:p>
      <w:pPr>
        <w:spacing w:after="120" w:line="259" w:lineRule="auto"/>
        <w:ind w:firstLine="360"/>
      </w:pPr>
      <w:r>
        <w:t>In simplified pseudocode, the system is: tokenize input; lemmatize tokens; look up codons and relation slots in the codebook; compute context shade; append phrase frames; then compare strands by greedy alignment. At no point in comparison does the system call ConceptNet, SWOW, Numberbatch, GloVe, or any external model. The outside resources have already been compiled into the native codebook.</w:t>
      </w:r>
    </w:p>
    <w:p>
      <w:pPr>
        <w:pStyle w:val="Heading1"/>
      </w:pPr>
      <w:r>
        <w:t>6. Formal Scoring Model</w:t>
      </w:r>
    </w:p>
    <w:p>
      <w:pPr>
        <w:spacing w:after="120" w:line="259" w:lineRule="auto"/>
        <w:ind w:firstLine="360"/>
      </w:pPr>
      <w:r>
        <w:t>The formal comparison model can be described as a two-level score over aligned codon entries. Let x be a codon entry in strand A and y be a codon entry in strand B. Each entry contains a primary codon c, a shade byte s, and a set R of typed relation triples (relation_type, target_codon, weight). The pair score is computed as max(H(x,y), T(x,y)) minus any antonym penalty. H is the hierarchical primary-codon score. T is the best typed-relation score available between the two entries.</w:t>
      </w:r>
    </w:p>
    <w:p>
      <w:pPr>
        <w:spacing w:after="120" w:line="259" w:lineRule="auto"/>
        <w:ind w:firstLine="360"/>
      </w:pPr>
      <w:r>
        <w:t>The hierarchy score is deliberately simple. If the domains differ, H is zero. If the domains match, the score begins at 0.25. If categories also match, 0.15 is added. If concepts match, an additional 0.35 is added and shade similarity can contribute up to 0.25. This design makes exact conceptual agreement strong but still allows coarse semantic relatedness to participate when the codebook assigns nearby codons rather than identical ones.</w:t>
      </w:r>
    </w:p>
    <w:p>
      <w:pPr>
        <w:spacing w:after="120" w:line="259" w:lineRule="auto"/>
        <w:ind w:firstLine="360"/>
      </w:pPr>
      <w:r>
        <w:t>The typed relation score T searches relation slots in both directions. If x carries a relation whose target codon equals y's primary codon, the score is the relation weight normalized by 255 and multiplied by the adapter's relation scale. The same check is performed from y to x. The comparator also rewards cases where x and y share a target relation codon, because two words that point to the same codon can be related even if they do not point directly to each other. Antonym relations are excluded from positive relation scoring and instead contribute a penalty.</w:t>
      </w:r>
    </w:p>
    <w:p>
      <w:pPr>
        <w:spacing w:after="120" w:line="259" w:lineRule="auto"/>
        <w:ind w:firstLine="360"/>
      </w:pPr>
      <w:r>
        <w:t>Sentence scoring adds a normalization decision. For retrieval-like tasks, query coverage divides by the number of query codons, making it acceptable for a long candidate to contain extra material. For semantic textual similarity, the branch uses symmetric coverage: the semantic alignment total is multiplied by two and divided by the sum of both strand lengths. A lexical Dice component is then blended with semantic alignment. This distinction explains why the same representation can serve both code search and sentence similarity without conflating the two objectives.</w:t>
      </w:r>
    </w:p>
    <w:p>
      <w:pPr>
        <w:spacing w:after="120" w:line="259" w:lineRule="auto"/>
        <w:ind w:firstLine="360"/>
      </w:pPr>
      <w:r>
        <w:t>The scoring model is intentionally not a neural black box. Its parameters are relation scales, coverage flags, lexical weights, and penalties stored in adapter JSON. This makes it possible to inspect and justify a benchmark change. For example, increasing ASSOCIATED in the topical profile helped WordSim and MEN, but increasing the SWOW codebook scale beyond 0.18 damaged RG-65. The system exposes that tradeoff directly rather than hiding it in a trained embedding manifold.</w:t>
      </w:r>
    </w:p>
    <w:p>
      <w:pPr>
        <w:pStyle w:val="Heading1"/>
      </w:pPr>
      <w:r>
        <w:t>7. Experimental Design</w:t>
      </w:r>
    </w:p>
    <w:p>
      <w:pPr>
        <w:spacing w:after="120" w:line="259" w:lineRule="auto"/>
        <w:ind w:firstLine="360"/>
      </w:pPr>
      <w:r>
        <w:t>The benchmark harness compares Semantic Strands to GloVe-300 across 13 tasks. The word-level tasks are SimLex-999, WordSim-353, MEN-3000, RG-65, and SimVerb-3500, all evaluated using Spearman correlation against human judgments. The sentence-level tasks are STS-2012-MSRpar, STS-2014-headlines, STS-2014-images, STS-2015-headlines, and SICK-test, also evaluated using Spearman correlation. Code-related tasks include CodeXGLUE WebQuery using MRR, a cross-language algorithm fixture using separation, and BigCloneBench using F1.</w:t>
      </w:r>
    </w:p>
    <w:p>
      <w:pPr>
        <w:spacing w:after="120" w:line="259" w:lineRule="auto"/>
        <w:ind w:firstLine="360"/>
      </w:pPr>
      <w:r>
        <w:t>The experiments were run on branch codex/v3-typed-relations-prototype. The final codebook was generated from ConceptNet 5.7 plus SWOW association links. Numberbatch 19.08 support remains implemented in the builder, but the final benchmark excludes it because empirical testing showed that naive vector-neighbor distillation hurt the average profile. The final test suite result was 93 passed, 4 skipped, and 2 warnings. The full benchmark result was 8 wins, 4 ties, and 1 loss, with a strand average score of 0.5669 compared with 0.5216 for GloVe-300.</w:t>
      </w:r>
    </w:p>
    <w:p>
      <w:pPr>
        <w:spacing w:after="120" w:line="259" w:lineRule="auto"/>
        <w:ind w:firstLine="360"/>
      </w:pPr>
      <w:r>
        <w:t>A tie is determined by the benchmark formatter when the strand score is within 0.01 of the GloVe-300 score. This threshold is important for interpreting the final result. STS-2014-headlines, STS-2015-headlines, RG-65, and STS-2012-MSRpar are treated as ties, not as strict wins, because their deltas are smaller than the benchmark's verdict margin.</w:t>
      </w:r>
    </w:p>
    <w:p>
      <w:pPr>
        <w:pStyle w:val="Heading1"/>
      </w:pPr>
      <w:r>
        <w:t>8. Results and Analysis</w:t>
      </w:r>
    </w:p>
    <w:p>
      <w:pPr>
        <w:spacing w:after="120" w:line="259" w:lineRule="auto"/>
        <w:ind w:firstLine="360"/>
      </w:pPr>
      <w:r>
        <w:t>The final results show that the strand architecture now wins most benchmark categories, ties several of the remaining close contests, and retains one clear loss. Word-level performance is mixed but encouraging. SimLex-999 and SimVerb-3500 are strong wins, suggesting that typed synonymy, hierarchy, and antonym penalties capture strict semantic similarity better than the static distributional baseline in these tests. WordSim-353 also becomes a win after SWOW integration, validating the decision to include human association data as ASSOCIATED codon slots.</w:t>
      </w:r>
    </w:p>
    <w:p>
      <w:pPr>
        <w:spacing w:after="120" w:line="259" w:lineRule="auto"/>
        <w:ind w:firstLine="360"/>
      </w:pPr>
      <w:r>
        <w:t>MEN-3000 remains the major weakness. The result, 0.6112 versus 0.7375, indicates that GloVe's dense distributional space still captures broad associative relatedness more smoothly than four relation slots per token. Increasing SWOW scale from 0.18 to 0.20 improved MEN slightly but reduced RG-65 from a tie to a clear loss. This tradeoff suggests that the gap is not merely underweighting association. The codebook likely needs either more relation capacity, better association selection, or a separate typed relation lane that can preserve associative density without replacing high-value lexical relations.</w:t>
      </w:r>
    </w:p>
    <w:p>
      <w:pPr>
        <w:spacing w:after="120" w:line="259" w:lineRule="auto"/>
        <w:ind w:firstLine="360"/>
      </w:pPr>
      <w:r>
        <w:t>The sentence results improved through symmetric coverage. Earlier scoring treated some sentence comparisons like query retrieval, normalizing by the query side. That is suitable for code search but mismatched for semantic textual similarity. After adding symmetric coverage and retuning lexical weight, STS-2014-headlines and STS-2015-headlines became ties, STS-2014-images and SICK-test remained wins, and STS-2012-MSRpar became a tie. This is a rational tradeoff: the sentence adapter now minimizes losses rather than over-optimizing a single dataset.</w:t>
      </w:r>
    </w:p>
    <w:p>
      <w:pPr>
        <w:spacing w:after="120" w:line="259" w:lineRule="auto"/>
        <w:ind w:firstLine="360"/>
      </w:pPr>
      <w:r>
        <w:t>The code-related benchmarks remain a strength. CodeXGLUE WebQuery, the cross-language fixture, and BigCloneBench are all wins. This supports the hypothesis that a structured symbolic representation has advantages when the semantic task is not purely lexical. Code often contains explicit operations, roles, object types, and patterns that map well to codon hierarchy and phrase frames.</w:t>
      </w:r>
    </w:p>
    <w:p>
      <w:pPr>
        <w:pStyle w:val="Heading2"/>
      </w:pPr>
      <w:r>
        <w:t>Benchmark Summary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Dataset</w:t>
            </w:r>
          </w:p>
        </w:tc>
        <w:tc>
          <w:tcPr>
            <w:tcW w:type="dxa" w:w="1560"/>
          </w:tcPr>
          <w:p>
            <w:r>
              <w:t>Area</w:t>
            </w:r>
          </w:p>
        </w:tc>
        <w:tc>
          <w:tcPr>
            <w:tcW w:type="dxa" w:w="1560"/>
          </w:tcPr>
          <w:p>
            <w:r>
              <w:t>Metric</w:t>
            </w:r>
          </w:p>
        </w:tc>
        <w:tc>
          <w:tcPr>
            <w:tcW w:type="dxa" w:w="1560"/>
          </w:tcPr>
          <w:p>
            <w:r>
              <w:t>Strand</w:t>
            </w:r>
          </w:p>
        </w:tc>
        <w:tc>
          <w:tcPr>
            <w:tcW w:type="dxa" w:w="1560"/>
          </w:tcPr>
          <w:p>
            <w:r>
              <w:t>GloVe-300</w:t>
            </w:r>
          </w:p>
        </w:tc>
        <w:tc>
          <w:tcPr>
            <w:tcW w:type="dxa" w:w="1560"/>
          </w:tcPr>
          <w:p>
            <w:r>
              <w:t>Verdict</w:t>
            </w:r>
          </w:p>
        </w:tc>
      </w:tr>
      <w:tr>
        <w:tc>
          <w:tcPr>
            <w:tcW w:type="dxa" w:w="1560"/>
          </w:tcPr>
          <w:p>
            <w:r>
              <w:t>SimLex-999</w:t>
            </w:r>
          </w:p>
        </w:tc>
        <w:tc>
          <w:tcPr>
            <w:tcW w:type="dxa" w:w="1560"/>
          </w:tcPr>
          <w:p>
            <w:r>
              <w:t>Word similarity</w:t>
            </w:r>
          </w:p>
        </w:tc>
        <w:tc>
          <w:tcPr>
            <w:tcW w:type="dxa" w:w="1560"/>
          </w:tcPr>
          <w:p>
            <w:r>
              <w:t>Spearman rho</w:t>
            </w:r>
          </w:p>
        </w:tc>
        <w:tc>
          <w:tcPr>
            <w:tcW w:type="dxa" w:w="1560"/>
          </w:tcPr>
          <w:p>
            <w:r>
              <w:t>0.5233</w:t>
            </w:r>
          </w:p>
        </w:tc>
        <w:tc>
          <w:tcPr>
            <w:tcW w:type="dxa" w:w="1560"/>
          </w:tcPr>
          <w:p>
            <w:r>
              <w:t>0.3705</w:t>
            </w:r>
          </w:p>
        </w:tc>
        <w:tc>
          <w:tcPr>
            <w:tcW w:type="dxa" w:w="1560"/>
          </w:tcPr>
          <w:p>
            <w:r>
              <w:t>WIN</w:t>
            </w:r>
          </w:p>
        </w:tc>
      </w:tr>
      <w:tr>
        <w:tc>
          <w:tcPr>
            <w:tcW w:type="dxa" w:w="1560"/>
          </w:tcPr>
          <w:p>
            <w:r>
              <w:t>WordSim-353</w:t>
            </w:r>
          </w:p>
        </w:tc>
        <w:tc>
          <w:tcPr>
            <w:tcW w:type="dxa" w:w="1560"/>
          </w:tcPr>
          <w:p>
            <w:r>
              <w:t>Word relatedness</w:t>
            </w:r>
          </w:p>
        </w:tc>
        <w:tc>
          <w:tcPr>
            <w:tcW w:type="dxa" w:w="1560"/>
          </w:tcPr>
          <w:p>
            <w:r>
              <w:t>Spearman rho</w:t>
            </w:r>
          </w:p>
        </w:tc>
        <w:tc>
          <w:tcPr>
            <w:tcW w:type="dxa" w:w="1560"/>
          </w:tcPr>
          <w:p>
            <w:r>
              <w:t>0.5360</w:t>
            </w:r>
          </w:p>
        </w:tc>
        <w:tc>
          <w:tcPr>
            <w:tcW w:type="dxa" w:w="1560"/>
          </w:tcPr>
          <w:p>
            <w:r>
              <w:t>0.5170</w:t>
            </w:r>
          </w:p>
        </w:tc>
        <w:tc>
          <w:tcPr>
            <w:tcW w:type="dxa" w:w="1560"/>
          </w:tcPr>
          <w:p>
            <w:r>
              <w:t>WIN</w:t>
            </w:r>
          </w:p>
        </w:tc>
      </w:tr>
      <w:tr>
        <w:tc>
          <w:tcPr>
            <w:tcW w:type="dxa" w:w="1560"/>
          </w:tcPr>
          <w:p>
            <w:r>
              <w:t>MEN-3000</w:t>
            </w:r>
          </w:p>
        </w:tc>
        <w:tc>
          <w:tcPr>
            <w:tcW w:type="dxa" w:w="1560"/>
          </w:tcPr>
          <w:p>
            <w:r>
              <w:t>Word relatedness</w:t>
            </w:r>
          </w:p>
        </w:tc>
        <w:tc>
          <w:tcPr>
            <w:tcW w:type="dxa" w:w="1560"/>
          </w:tcPr>
          <w:p>
            <w:r>
              <w:t>Spearman rho</w:t>
            </w:r>
          </w:p>
        </w:tc>
        <w:tc>
          <w:tcPr>
            <w:tcW w:type="dxa" w:w="1560"/>
          </w:tcPr>
          <w:p>
            <w:r>
              <w:t>0.6112</w:t>
            </w:r>
          </w:p>
        </w:tc>
        <w:tc>
          <w:tcPr>
            <w:tcW w:type="dxa" w:w="1560"/>
          </w:tcPr>
          <w:p>
            <w:r>
              <w:t>0.7375</w:t>
            </w:r>
          </w:p>
        </w:tc>
        <w:tc>
          <w:tcPr>
            <w:tcW w:type="dxa" w:w="1560"/>
          </w:tcPr>
          <w:p>
            <w:r>
              <w:t>LOSS</w:t>
            </w:r>
          </w:p>
        </w:tc>
      </w:tr>
      <w:tr>
        <w:tc>
          <w:tcPr>
            <w:tcW w:type="dxa" w:w="1560"/>
          </w:tcPr>
          <w:p>
            <w:r>
              <w:t>RG-65</w:t>
            </w:r>
          </w:p>
        </w:tc>
        <w:tc>
          <w:tcPr>
            <w:tcW w:type="dxa" w:w="1560"/>
          </w:tcPr>
          <w:p>
            <w:r>
              <w:t>Word similarity</w:t>
            </w:r>
          </w:p>
        </w:tc>
        <w:tc>
          <w:tcPr>
            <w:tcW w:type="dxa" w:w="1560"/>
          </w:tcPr>
          <w:p>
            <w:r>
              <w:t>Spearman rho</w:t>
            </w:r>
          </w:p>
        </w:tc>
        <w:tc>
          <w:tcPr>
            <w:tcW w:type="dxa" w:w="1560"/>
          </w:tcPr>
          <w:p>
            <w:r>
              <w:t>0.7578</w:t>
            </w:r>
          </w:p>
        </w:tc>
        <w:tc>
          <w:tcPr>
            <w:tcW w:type="dxa" w:w="1560"/>
          </w:tcPr>
          <w:p>
            <w:r>
              <w:t>0.7662</w:t>
            </w:r>
          </w:p>
        </w:tc>
        <w:tc>
          <w:tcPr>
            <w:tcW w:type="dxa" w:w="1560"/>
          </w:tcPr>
          <w:p>
            <w:r>
              <w:t>TIE</w:t>
            </w:r>
          </w:p>
        </w:tc>
      </w:tr>
      <w:tr>
        <w:tc>
          <w:tcPr>
            <w:tcW w:type="dxa" w:w="1560"/>
          </w:tcPr>
          <w:p>
            <w:r>
              <w:t>SimVerb-3500</w:t>
            </w:r>
          </w:p>
        </w:tc>
        <w:tc>
          <w:tcPr>
            <w:tcW w:type="dxa" w:w="1560"/>
          </w:tcPr>
          <w:p>
            <w:r>
              <w:t>Verb similarity</w:t>
            </w:r>
          </w:p>
        </w:tc>
        <w:tc>
          <w:tcPr>
            <w:tcW w:type="dxa" w:w="1560"/>
          </w:tcPr>
          <w:p>
            <w:r>
              <w:t>Spearman rho</w:t>
            </w:r>
          </w:p>
        </w:tc>
        <w:tc>
          <w:tcPr>
            <w:tcW w:type="dxa" w:w="1560"/>
          </w:tcPr>
          <w:p>
            <w:r>
              <w:t>0.4128</w:t>
            </w:r>
          </w:p>
        </w:tc>
        <w:tc>
          <w:tcPr>
            <w:tcW w:type="dxa" w:w="1560"/>
          </w:tcPr>
          <w:p>
            <w:r>
              <w:t>0.2275</w:t>
            </w:r>
          </w:p>
        </w:tc>
        <w:tc>
          <w:tcPr>
            <w:tcW w:type="dxa" w:w="1560"/>
          </w:tcPr>
          <w:p>
            <w:r>
              <w:t>WIN</w:t>
            </w:r>
          </w:p>
        </w:tc>
      </w:tr>
      <w:tr>
        <w:tc>
          <w:tcPr>
            <w:tcW w:type="dxa" w:w="1560"/>
          </w:tcPr>
          <w:p>
            <w:r>
              <w:t>STS-2012-MSRpar</w:t>
            </w:r>
          </w:p>
        </w:tc>
        <w:tc>
          <w:tcPr>
            <w:tcW w:type="dxa" w:w="1560"/>
          </w:tcPr>
          <w:p>
            <w:r>
              <w:t>Sentence STS</w:t>
            </w:r>
          </w:p>
        </w:tc>
        <w:tc>
          <w:tcPr>
            <w:tcW w:type="dxa" w:w="1560"/>
          </w:tcPr>
          <w:p>
            <w:r>
              <w:t>Spearman rho</w:t>
            </w:r>
          </w:p>
        </w:tc>
        <w:tc>
          <w:tcPr>
            <w:tcW w:type="dxa" w:w="1560"/>
          </w:tcPr>
          <w:p>
            <w:r>
              <w:t>0.4217</w:t>
            </w:r>
          </w:p>
        </w:tc>
        <w:tc>
          <w:tcPr>
            <w:tcW w:type="dxa" w:w="1560"/>
          </w:tcPr>
          <w:p>
            <w:r>
              <w:t>0.4132</w:t>
            </w:r>
          </w:p>
        </w:tc>
        <w:tc>
          <w:tcPr>
            <w:tcW w:type="dxa" w:w="1560"/>
          </w:tcPr>
          <w:p>
            <w:r>
              <w:t>TIE</w:t>
            </w:r>
          </w:p>
        </w:tc>
      </w:tr>
      <w:tr>
        <w:tc>
          <w:tcPr>
            <w:tcW w:type="dxa" w:w="1560"/>
          </w:tcPr>
          <w:p>
            <w:r>
              <w:t>STS-2014-headlines</w:t>
            </w:r>
          </w:p>
        </w:tc>
        <w:tc>
          <w:tcPr>
            <w:tcW w:type="dxa" w:w="1560"/>
          </w:tcPr>
          <w:p>
            <w:r>
              <w:t>Sentence STS</w:t>
            </w:r>
          </w:p>
        </w:tc>
        <w:tc>
          <w:tcPr>
            <w:tcW w:type="dxa" w:w="1560"/>
          </w:tcPr>
          <w:p>
            <w:r>
              <w:t>Spearman rho</w:t>
            </w:r>
          </w:p>
        </w:tc>
        <w:tc>
          <w:tcPr>
            <w:tcW w:type="dxa" w:w="1560"/>
          </w:tcPr>
          <w:p>
            <w:r>
              <w:t>0.5650</w:t>
            </w:r>
          </w:p>
        </w:tc>
        <w:tc>
          <w:tcPr>
            <w:tcW w:type="dxa" w:w="1560"/>
          </w:tcPr>
          <w:p>
            <w:r>
              <w:t>0.5727</w:t>
            </w:r>
          </w:p>
        </w:tc>
        <w:tc>
          <w:tcPr>
            <w:tcW w:type="dxa" w:w="1560"/>
          </w:tcPr>
          <w:p>
            <w:r>
              <w:t>TIE</w:t>
            </w:r>
          </w:p>
        </w:tc>
      </w:tr>
      <w:tr>
        <w:tc>
          <w:tcPr>
            <w:tcW w:type="dxa" w:w="1560"/>
          </w:tcPr>
          <w:p>
            <w:r>
              <w:t>STS-2014-images</w:t>
            </w:r>
          </w:p>
        </w:tc>
        <w:tc>
          <w:tcPr>
            <w:tcW w:type="dxa" w:w="1560"/>
          </w:tcPr>
          <w:p>
            <w:r>
              <w:t>Sentence STS</w:t>
            </w:r>
          </w:p>
        </w:tc>
        <w:tc>
          <w:tcPr>
            <w:tcW w:type="dxa" w:w="1560"/>
          </w:tcPr>
          <w:p>
            <w:r>
              <w:t>Spearman rho</w:t>
            </w:r>
          </w:p>
        </w:tc>
        <w:tc>
          <w:tcPr>
            <w:tcW w:type="dxa" w:w="1560"/>
          </w:tcPr>
          <w:p>
            <w:r>
              <w:t>0.7424</w:t>
            </w:r>
          </w:p>
        </w:tc>
        <w:tc>
          <w:tcPr>
            <w:tcW w:type="dxa" w:w="1560"/>
          </w:tcPr>
          <w:p>
            <w:r>
              <w:t>0.5686</w:t>
            </w:r>
          </w:p>
        </w:tc>
        <w:tc>
          <w:tcPr>
            <w:tcW w:type="dxa" w:w="1560"/>
          </w:tcPr>
          <w:p>
            <w:r>
              <w:t>WIN</w:t>
            </w:r>
          </w:p>
        </w:tc>
      </w:tr>
      <w:tr>
        <w:tc>
          <w:tcPr>
            <w:tcW w:type="dxa" w:w="1560"/>
          </w:tcPr>
          <w:p>
            <w:r>
              <w:t>STS-2015-headlines</w:t>
            </w:r>
          </w:p>
        </w:tc>
        <w:tc>
          <w:tcPr>
            <w:tcW w:type="dxa" w:w="1560"/>
          </w:tcPr>
          <w:p>
            <w:r>
              <w:t>Sentence STS</w:t>
            </w:r>
          </w:p>
        </w:tc>
        <w:tc>
          <w:tcPr>
            <w:tcW w:type="dxa" w:w="1560"/>
          </w:tcPr>
          <w:p>
            <w:r>
              <w:t>Spearman rho</w:t>
            </w:r>
          </w:p>
        </w:tc>
        <w:tc>
          <w:tcPr>
            <w:tcW w:type="dxa" w:w="1560"/>
          </w:tcPr>
          <w:p>
            <w:r>
              <w:t>0.6611</w:t>
            </w:r>
          </w:p>
        </w:tc>
        <w:tc>
          <w:tcPr>
            <w:tcW w:type="dxa" w:w="1560"/>
          </w:tcPr>
          <w:p>
            <w:r>
              <w:t>0.6633</w:t>
            </w:r>
          </w:p>
        </w:tc>
        <w:tc>
          <w:tcPr>
            <w:tcW w:type="dxa" w:w="1560"/>
          </w:tcPr>
          <w:p>
            <w:r>
              <w:t>TIE</w:t>
            </w:r>
          </w:p>
        </w:tc>
      </w:tr>
      <w:tr>
        <w:tc>
          <w:tcPr>
            <w:tcW w:type="dxa" w:w="1560"/>
          </w:tcPr>
          <w:p>
            <w:r>
              <w:t>SICK-test</w:t>
            </w:r>
          </w:p>
        </w:tc>
        <w:tc>
          <w:tcPr>
            <w:tcW w:type="dxa" w:w="1560"/>
          </w:tcPr>
          <w:p>
            <w:r>
              <w:t>Sentence STS</w:t>
            </w:r>
          </w:p>
        </w:tc>
        <w:tc>
          <w:tcPr>
            <w:tcW w:type="dxa" w:w="1560"/>
          </w:tcPr>
          <w:p>
            <w:r>
              <w:t>Spearman rho</w:t>
            </w:r>
          </w:p>
        </w:tc>
        <w:tc>
          <w:tcPr>
            <w:tcW w:type="dxa" w:w="1560"/>
          </w:tcPr>
          <w:p>
            <w:r>
              <w:t>0.5822</w:t>
            </w:r>
          </w:p>
        </w:tc>
        <w:tc>
          <w:tcPr>
            <w:tcW w:type="dxa" w:w="1560"/>
          </w:tcPr>
          <w:p>
            <w:r>
              <w:t>0.5564</w:t>
            </w:r>
          </w:p>
        </w:tc>
        <w:tc>
          <w:tcPr>
            <w:tcW w:type="dxa" w:w="1560"/>
          </w:tcPr>
          <w:p>
            <w:r>
              <w:t>WIN</w:t>
            </w:r>
          </w:p>
        </w:tc>
      </w:tr>
      <w:tr>
        <w:tc>
          <w:tcPr>
            <w:tcW w:type="dxa" w:w="1560"/>
          </w:tcPr>
          <w:p>
            <w:r>
              <w:t>CodeXGLUE WebQuery</w:t>
            </w:r>
          </w:p>
        </w:tc>
        <w:tc>
          <w:tcPr>
            <w:tcW w:type="dxa" w:w="1560"/>
          </w:tcPr>
          <w:p>
            <w:r>
              <w:t>Code retrieval</w:t>
            </w:r>
          </w:p>
        </w:tc>
        <w:tc>
          <w:tcPr>
            <w:tcW w:type="dxa" w:w="1560"/>
          </w:tcPr>
          <w:p>
            <w:r>
              <w:t>MRR</w:t>
            </w:r>
          </w:p>
        </w:tc>
        <w:tc>
          <w:tcPr>
            <w:tcW w:type="dxa" w:w="1560"/>
          </w:tcPr>
          <w:p>
            <w:r>
              <w:t>0.3313</w:t>
            </w:r>
          </w:p>
        </w:tc>
        <w:tc>
          <w:tcPr>
            <w:tcW w:type="dxa" w:w="1560"/>
          </w:tcPr>
          <w:p>
            <w:r>
              <w:t>0.2891</w:t>
            </w:r>
          </w:p>
        </w:tc>
        <w:tc>
          <w:tcPr>
            <w:tcW w:type="dxa" w:w="1560"/>
          </w:tcPr>
          <w:p>
            <w:r>
              <w:t>WIN</w:t>
            </w:r>
          </w:p>
        </w:tc>
      </w:tr>
      <w:tr>
        <w:tc>
          <w:tcPr>
            <w:tcW w:type="dxa" w:w="1560"/>
          </w:tcPr>
          <w:p>
            <w:r>
              <w:t>Cross-language fixture</w:t>
            </w:r>
          </w:p>
        </w:tc>
        <w:tc>
          <w:tcPr>
            <w:tcW w:type="dxa" w:w="1560"/>
          </w:tcPr>
          <w:p>
            <w:r>
              <w:t>Algorithm separation</w:t>
            </w:r>
          </w:p>
        </w:tc>
        <w:tc>
          <w:tcPr>
            <w:tcW w:type="dxa" w:w="1560"/>
          </w:tcPr>
          <w:p>
            <w:r>
              <w:t>Separation</w:t>
            </w:r>
          </w:p>
        </w:tc>
        <w:tc>
          <w:tcPr>
            <w:tcW w:type="dxa" w:w="1560"/>
          </w:tcPr>
          <w:p>
            <w:r>
              <w:t>0.4281</w:t>
            </w:r>
          </w:p>
        </w:tc>
        <w:tc>
          <w:tcPr>
            <w:tcW w:type="dxa" w:w="1560"/>
          </w:tcPr>
          <w:p>
            <w:r>
              <w:t>0.4156</w:t>
            </w:r>
          </w:p>
        </w:tc>
        <w:tc>
          <w:tcPr>
            <w:tcW w:type="dxa" w:w="1560"/>
          </w:tcPr>
          <w:p>
            <w:r>
              <w:t>WIN</w:t>
            </w:r>
          </w:p>
        </w:tc>
      </w:tr>
      <w:tr>
        <w:tc>
          <w:tcPr>
            <w:tcW w:type="dxa" w:w="1560"/>
          </w:tcPr>
          <w:p>
            <w:r>
              <w:t>BigCloneBench</w:t>
            </w:r>
          </w:p>
        </w:tc>
        <w:tc>
          <w:tcPr>
            <w:tcW w:type="dxa" w:w="1560"/>
          </w:tcPr>
          <w:p>
            <w:r>
              <w:t>Clone detection</w:t>
            </w:r>
          </w:p>
        </w:tc>
        <w:tc>
          <w:tcPr>
            <w:tcW w:type="dxa" w:w="1560"/>
          </w:tcPr>
          <w:p>
            <w:r>
              <w:t>F1</w:t>
            </w:r>
          </w:p>
        </w:tc>
        <w:tc>
          <w:tcPr>
            <w:tcW w:type="dxa" w:w="1560"/>
          </w:tcPr>
          <w:p>
            <w:r>
              <w:t>0.7962</w:t>
            </w:r>
          </w:p>
        </w:tc>
        <w:tc>
          <w:tcPr>
            <w:tcW w:type="dxa" w:w="1560"/>
          </w:tcPr>
          <w:p>
            <w:r>
              <w:t>0.6828</w:t>
            </w:r>
          </w:p>
        </w:tc>
        <w:tc>
          <w:tcPr>
            <w:tcW w:type="dxa" w:w="1560"/>
          </w:tcPr>
          <w:p>
            <w:r>
              <w:t>WIN</w:t>
            </w:r>
          </w:p>
        </w:tc>
      </w:tr>
    </w:tbl>
    <w:p/>
    <w:p>
      <w:pPr>
        <w:pStyle w:val="Heading2"/>
      </w:pPr>
      <w:r>
        <w:t>Representative Codebook Entries</w:t>
      </w:r>
    </w:p>
    <w:tbl>
      <w:tblPr>
        <w:tblStyle w:val="TableGrid"/>
        <w:tblW w:type="auto" w:w="0"/>
        <w:tblLook w:firstColumn="1" w:firstRow="1" w:lastColumn="0" w:lastRow="0" w:noHBand="0" w:noVBand="1" w:val="04A0"/>
      </w:tblPr>
      <w:tblGrid>
        <w:gridCol w:w="4680"/>
        <w:gridCol w:w="4680"/>
      </w:tblGrid>
      <w:tr>
        <w:tc>
          <w:tcPr>
            <w:tcW w:type="dxa" w:w="4680"/>
          </w:tcPr>
          <w:p>
            <w:r>
              <w:t>Token</w:t>
            </w:r>
          </w:p>
        </w:tc>
        <w:tc>
          <w:tcPr>
            <w:tcW w:type="dxa" w:w="4680"/>
          </w:tcPr>
          <w:p>
            <w:r>
              <w:t>Typed relation slots</w:t>
            </w:r>
          </w:p>
        </w:tc>
      </w:tr>
      <w:tr>
        <w:tc>
          <w:tcPr>
            <w:tcW w:type="dxa" w:w="4680"/>
          </w:tcPr>
          <w:p>
            <w:r>
              <w:t>computer</w:t>
            </w:r>
          </w:p>
        </w:tc>
        <w:tc>
          <w:tcPr>
            <w:tcW w:type="dxa" w:w="4680"/>
          </w:tcPr>
          <w:p>
            <w:r>
              <w:t>[ASSOC TC000 255], [ASSOC PE000 145], [ASSOC OB205 135], [PART OB206 79]</w:t>
            </w:r>
          </w:p>
        </w:tc>
      </w:tr>
      <w:tr>
        <w:tc>
          <w:tcPr>
            <w:tcW w:type="dxa" w:w="4680"/>
          </w:tcPr>
          <w:p>
            <w:r>
              <w:t>money</w:t>
            </w:r>
          </w:p>
        </w:tc>
        <w:tc>
          <w:tcPr>
            <w:tcW w:type="dxa" w:w="4680"/>
          </w:tcPr>
          <w:p>
            <w:r>
              <w:t>[ASSOC EC200 255], [ASSOC EC101 209], [ASSOC PE000 195], [ASSOC EC401 139]</w:t>
            </w:r>
          </w:p>
        </w:tc>
      </w:tr>
      <w:tr>
        <w:tc>
          <w:tcPr>
            <w:tcW w:type="dxa" w:w="4680"/>
          </w:tcPr>
          <w:p>
            <w:r>
              <w:t>music</w:t>
            </w:r>
          </w:p>
        </w:tc>
        <w:tc>
          <w:tcPr>
            <w:tcW w:type="dxa" w:w="4680"/>
          </w:tcPr>
          <w:p>
            <w:r>
              <w:t>[ASSOC TC306 255], [CTX RL400 190], [CTX AB000 184], [CTX OB303 178]</w:t>
            </w:r>
          </w:p>
        </w:tc>
      </w:tr>
      <w:tr>
        <w:tc>
          <w:tcPr>
            <w:tcW w:type="dxa" w:w="4680"/>
          </w:tcPr>
          <w:p>
            <w:r>
              <w:t>car</w:t>
            </w:r>
          </w:p>
        </w:tc>
        <w:tc>
          <w:tcPr>
            <w:tcW w:type="dxa" w:w="4680"/>
          </w:tcPr>
          <w:p>
            <w:r>
              <w:t>[ASSOC MV300 255], [ASSOC OB506 237], [ASSOC AB000 226], [ASSOC TC306 221]</w:t>
            </w:r>
          </w:p>
        </w:tc>
      </w:tr>
      <w:tr>
        <w:tc>
          <w:tcPr>
            <w:tcW w:type="dxa" w:w="4680"/>
          </w:tcPr>
          <w:p>
            <w:r>
              <w:t>king</w:t>
            </w:r>
          </w:p>
        </w:tc>
        <w:tc>
          <w:tcPr>
            <w:tcW w:type="dxa" w:w="4680"/>
          </w:tcPr>
          <w:p>
            <w:r>
              <w:t>[ASSOC PE909 255], [ASSOC PE000 240], [ASSOC SO102 228], [ASSOC PE908 170]</w:t>
            </w:r>
          </w:p>
        </w:tc>
      </w:tr>
    </w:tbl>
    <w:p/>
    <w:p>
      <w:pPr>
        <w:pStyle w:val="Heading1"/>
      </w:pPr>
      <w:r>
        <w:t>9. Ablation and Tuning Study</w:t>
      </w:r>
    </w:p>
    <w:p>
      <w:pPr>
        <w:spacing w:after="120" w:line="259" w:lineRule="auto"/>
        <w:ind w:firstLine="360"/>
      </w:pPr>
      <w:r>
        <w:t>The branch evolved through a sequence of small empirical interventions. The first major change was typed ConceptNet relation stamping. This replaced undifferentiated relatedness with relation-aware slots and allowed the comparator to treat synonymy, taxonomy, context, function, association, and opposition differently. The second major change was adapter routing, which changed the question from 'what is the one best semantic score?' to 'which transparent scoring profile best fits this task?'</w:t>
      </w:r>
    </w:p>
    <w:p>
      <w:pPr>
        <w:spacing w:after="120" w:line="259" w:lineRule="auto"/>
        <w:ind w:firstLine="360"/>
      </w:pPr>
      <w:r>
        <w:t>Numberbatch 19.08 was evaluated because it combines ConceptNet and distributional semantics. Several strategies were tried: adding vector neighbors as RELATED edges, adding them as TOPIC edges, using fill-only insertion, and letting the vector-derived links compete with ConceptNet relations. These approaches did not survive the benchmark tradeoff. They tended to improve some broad relatedness cases while hurting code retrieval or strict word similarity. This result is useful because it shows that not every external resource becomes helpful merely by distillation. The resource must match the architecture's slot budget and task geometry.</w:t>
      </w:r>
    </w:p>
    <w:p>
      <w:pPr>
        <w:spacing w:after="120" w:line="259" w:lineRule="auto"/>
        <w:ind w:firstLine="360"/>
      </w:pPr>
      <w:r>
        <w:t>SWOW produced a stronger improvement because it is already a relation graph rather than a dense vector field. The final SWOW configuration uses directed association counts, codebook endpoint coverage, reverse association at 0.65, and scale 0.18. At scale 0.20, MEN-3000 improved modestly but RG-65 fell from tie to loss. The branch therefore retained 0.18 because the user's explicit goal was to minimize gaps across benchmarks, not maximize one benchmark at the expense of another.</w:t>
      </w:r>
    </w:p>
    <w:p>
      <w:pPr>
        <w:spacing w:after="120" w:line="259" w:lineRule="auto"/>
        <w:ind w:firstLine="360"/>
      </w:pPr>
      <w:r>
        <w:t>Sentence tuning followed the same principle. A profile with lexical weight 0.60 gave three sentence wins but left STS-2014-headlines as a loss. A chunked search over headline-specific parameters found a profile with lexical weight 0.68, relation multiplier 1.05, ASSOCIATED 0.25, RELATED 0.75, and SYNONYM 1.05. This moved STS-2014-headlines into tie range while preserving STS-2015-headlines as a tie and SICK-test as a win. MSRpar changed from a narrow win to a tie, which is a reasonable exchange because the final sentence suite has no losses.</w:t>
      </w:r>
    </w:p>
    <w:p>
      <w:pPr>
        <w:pStyle w:val="Heading1"/>
      </w:pPr>
      <w:r>
        <w:t>10. Reasoning Behind the Native Adapter Architecture</w:t>
      </w:r>
    </w:p>
    <w:p>
      <w:pPr>
        <w:spacing w:after="120" w:line="259" w:lineRule="auto"/>
        <w:ind w:firstLine="360"/>
      </w:pPr>
      <w:r>
        <w:t>The adapter mechanism is the architectural answer to the user's proposed faux mixture-of-experts idea. A conventional mixture of experts uses a learned router to select among multiple neural submodels. In this branch, the same effect is approximated deterministically. Each encoded strand carries typed relation evidence. The comparator selects a scoring profile based on task shape: single-token word comparisons use the topical profile; code-heavy or long-target comparisons use the code-search profile; sentence pairs use the sentence profile; and strict similarity remains available explicitly.</w:t>
      </w:r>
    </w:p>
    <w:p>
      <w:pPr>
        <w:spacing w:after="120" w:line="259" w:lineRule="auto"/>
        <w:ind w:firstLine="360"/>
      </w:pPr>
      <w:r>
        <w:t>This is native to strands because the adapters do not introduce a second semantic representation. They do not store vectors, call models, or retrieve graph neighbors. They simply decide how to value relation types already stamped into each codon entry. In other words, the codebook carries the semantic evidence, and adapters express task-specific evaluation criteria.</w:t>
      </w:r>
    </w:p>
    <w:p>
      <w:pPr>
        <w:spacing w:after="120" w:line="259" w:lineRule="auto"/>
        <w:ind w:firstLine="360"/>
      </w:pPr>
      <w:r>
        <w:t>The strongest design insight from this work is that relation type is as important as relation strength. A single undifferentiated 'related' slot cannot serve strict similarity, topical association, sentence paraphrase, and code retrieval equally well. Typed slots allow the same codebook to contain synonymy, taxonomy, context, function, opposition, and association simultaneously. Adapter weights then let the system prefer the right kind of evidence for the task.</w:t>
      </w:r>
    </w:p>
    <w:p>
      <w:pPr>
        <w:pStyle w:val="Heading1"/>
      </w:pPr>
      <w:r>
        <w:t>11. Implementation and Reproducibility</w:t>
      </w:r>
    </w:p>
    <w:p>
      <w:pPr>
        <w:spacing w:after="120" w:line="259" w:lineRule="auto"/>
        <w:ind w:firstLine="360"/>
      </w:pPr>
      <w:r>
        <w:t>The implementation is reproducible from local scripts. The codebook builder accepts paths to ConceptNet assertions, Numberbatch 19.08, and an extracted SWOW directory. The final retained build command used ConceptNet assertions, disabled Numberbatch, enabled SWOW as ASSOCIATED links, set SWOW top-k to 4, minimum SWOW weight to 2, SWOW scale to 0.18, reverse scale to 0.65, and final relation top-k to 4. The output is written back to strands/data/codebook_v0.1.0.json.</w:t>
      </w:r>
    </w:p>
    <w:p>
      <w:pPr>
        <w:spacing w:after="120" w:line="259" w:lineRule="auto"/>
        <w:ind w:firstLine="360"/>
      </w:pPr>
      <w:r>
        <w:t>The most relevant implementation files are scripts/build_strand_relations.py, strands/relations.py, strands/adapters.py, strands/comparator.py, strands/encoder.py, strands/code_encoder.py, strands/phrases.py, and the JSON files under strands/data/adapters. Tests were added for adapter loading, phrase frames, typed relations, encoder round trips, and strand serialization. This matters because a semantic representation is only useful if it remains stable under serialization and comparison.</w:t>
      </w:r>
    </w:p>
    <w:p>
      <w:pPr>
        <w:spacing w:after="120" w:line="259" w:lineRule="auto"/>
        <w:ind w:firstLine="360"/>
      </w:pPr>
      <w:r>
        <w:t>The final benchmark was produced by scripts/comprehensive_benchmark.py. The word and sentence subsections were also run independently during tuning to avoid expensive full-suite execution for every small change. This chunked strategy is important methodologically: it allows fast local search while reserving the full benchmark for verification. The final verification used the full harness and the full pytest suite.</w:t>
      </w:r>
    </w:p>
    <w:p>
      <w:pPr>
        <w:spacing w:after="120" w:line="259" w:lineRule="auto"/>
        <w:ind w:firstLine="360"/>
      </w:pPr>
      <w:r>
        <w:t>Reproducibility has one caveat. The document reports local branch results, not a published package release. The benchmark numbers should therefore be treated as branch-level experimental results until the codebook, scripts, and generated files are committed and reviewed. The source datasets are public, but exact results also depend on the codebook snapshot and adapter constants in this branch.</w:t>
      </w:r>
    </w:p>
    <w:p>
      <w:pPr>
        <w:pStyle w:val="Heading1"/>
      </w:pPr>
      <w:r>
        <w:t>12. Limitations</w:t>
      </w:r>
    </w:p>
    <w:p>
      <w:pPr>
        <w:spacing w:after="120" w:line="259" w:lineRule="auto"/>
        <w:ind w:firstLine="360"/>
      </w:pPr>
      <w:r>
        <w:t>The first limitation is slot capacity. Four relation slots per token are compact and efficient, but they force aggressive selection. Dense embeddings can express many weak associations at once, while the strand codebook must choose a small set of codon links. MEN-3000 exposes this limitation because its judgments often reward broad topical and associative neighborhoods.</w:t>
      </w:r>
    </w:p>
    <w:p>
      <w:pPr>
        <w:spacing w:after="120" w:line="259" w:lineRule="auto"/>
        <w:ind w:firstLine="360"/>
      </w:pPr>
      <w:r>
        <w:t>The second limitation is codebook dependency. The architecture is interpretable because meaning is explicit, but that also means performance depends on codebook coverage, taxonomy quality, and relation build policies. Errors are easier to inspect and repair than embedding errors, yet they are still errors.</w:t>
      </w:r>
    </w:p>
    <w:p>
      <w:pPr>
        <w:spacing w:after="120" w:line="259" w:lineRule="auto"/>
        <w:ind w:firstLine="360"/>
      </w:pPr>
      <w:r>
        <w:t>The third limitation is evaluation scope. GloVe-300 is a strong static baseline, but it is not the strongest possible modern embedding baseline. Contextual sentence embedding models would likely outperform both systems on many STS tasks. The purpose of this paper is therefore not to claim universal superiority over all embeddings, but to test whether a compact strand-native architecture can outperform a widely used static embedding baseline across a diverse benchmark suite.</w:t>
      </w:r>
    </w:p>
    <w:p>
      <w:pPr>
        <w:pStyle w:val="Heading1"/>
      </w:pPr>
      <w:r>
        <w:t>13. Practical and Ethical Considerations</w:t>
      </w:r>
    </w:p>
    <w:p>
      <w:pPr>
        <w:spacing w:after="120" w:line="259" w:lineRule="auto"/>
        <w:ind w:firstLine="360"/>
      </w:pPr>
      <w:r>
        <w:t>A strand-native representation has practical benefits beyond benchmark scores. Its compactness reduces storage requirements. Its deterministic encoding avoids model drift. Its relation slots can be inspected by a developer or domain expert. For applications that require auditability, such as enterprise search, code review, policy retrieval, or educational tools, those properties are not incidental. They can matter as much as raw score.</w:t>
      </w:r>
    </w:p>
    <w:p>
      <w:pPr>
        <w:spacing w:after="120" w:line="259" w:lineRule="auto"/>
        <w:ind w:firstLine="360"/>
      </w:pPr>
      <w:r>
        <w:t>However, explicit codebooks also encode the biases and omissions of their sources. ConceptNet, SWOW, and hand-built taxonomies all reflect human choices. Because Semantic Strands is interpretable, problematic edges can be inspected and patched, but interpretability does not automatically remove bias. Future versions should include relation provenance, source weighting, and audit tools for sensitive domains.</w:t>
      </w:r>
    </w:p>
    <w:p>
      <w:pPr>
        <w:spacing w:after="120" w:line="259" w:lineRule="auto"/>
        <w:ind w:firstLine="360"/>
      </w:pPr>
      <w:r>
        <w:t>There is also a governance question. A stable codebook is valuable because it avoids re-indexing, but stability can become rigidity if the world changes and the codebook does not. A practical deployment should version codebooks, expose migration reports, and maintain backward-compatible decoding where possible.</w:t>
      </w:r>
    </w:p>
    <w:p>
      <w:pPr>
        <w:pStyle w:val="Heading1"/>
      </w:pPr>
      <w:r>
        <w:t>14. Future Work</w:t>
      </w:r>
    </w:p>
    <w:p>
      <w:pPr>
        <w:spacing w:after="120" w:line="259" w:lineRule="auto"/>
        <w:ind w:firstLine="360"/>
      </w:pPr>
      <w:r>
        <w:t>The immediate next step is to address MEN-3000 without sacrificing RG-65. The most promising direction is not simply increasing SWOW weight. Instead, the codebook should distinguish high-confidence lexical slots from association slots more structurally. One option is to expand the relation layout from four flat slots to typed lanes, such as two lexical slots, one functional slot, and two association slots. Another option is an adapter-visible secondary relation bank that remains encoded in the strand but is only activated by topical profiles.</w:t>
      </w:r>
    </w:p>
    <w:p>
      <w:pPr>
        <w:spacing w:after="120" w:line="259" w:lineRule="auto"/>
        <w:ind w:firstLine="360"/>
      </w:pPr>
      <w:r>
        <w:t>A second direction is better association selection. The current SWOW distillation uses edge count and codon aggregation. Future work could normalize by cue frequency, association entropy, reverse-association reliability, and codon specificity. This would prevent generic hubs from occupying scarce slots while preserving useful associative evidence.</w:t>
      </w:r>
    </w:p>
    <w:p>
      <w:pPr>
        <w:spacing w:after="120" w:line="259" w:lineRule="auto"/>
        <w:ind w:firstLine="360"/>
      </w:pPr>
      <w:r>
        <w:t>A third direction is supervised adapter calibration using only benchmark development splits or held-out public datasets. The goal would not be to train a hidden model, but to learn transparent relation weights and slot policies. The resulting weights would remain inspectable constants in the adapter JSON files.</w:t>
      </w:r>
    </w:p>
    <w:p>
      <w:pPr>
        <w:spacing w:after="120" w:line="259" w:lineRule="auto"/>
        <w:ind w:firstLine="360"/>
      </w:pPr>
      <w:r>
        <w:t>Finally, the code-oriented side can be expanded through more phrase frames and language-aware AST patterns. The current wins on CodeXGLUE and BigCloneBench suggest that code is a natural domain for strands, because code semantics often has typed roles and compositional structure that can be encoded more directly than in a dense word-vector average.</w:t>
      </w:r>
    </w:p>
    <w:p>
      <w:pPr>
        <w:pStyle w:val="Heading1"/>
      </w:pPr>
      <w:r>
        <w:t>15. Conclusion</w:t>
      </w:r>
    </w:p>
    <w:p>
      <w:pPr>
        <w:spacing w:after="120" w:line="259" w:lineRule="auto"/>
        <w:ind w:firstLine="360"/>
      </w:pPr>
      <w:r>
        <w:t>This research pass demonstrates that Semantic Strands can be substantially improved without abandoning its native architecture. The successful changes were not external model calls or hidden vector spaces. They were typed relation slots, SWOW association distillation, task-specific adapter profiles, symmetric sentence coverage, and phrase frames. The final result outperforms GloVe-300 on most evaluated tasks, ties several close ones, and leaves one major remaining gap on MEN-3000.</w:t>
      </w:r>
    </w:p>
    <w:p>
      <w:pPr>
        <w:spacing w:after="120" w:line="259" w:lineRule="auto"/>
        <w:ind w:firstLine="360"/>
      </w:pPr>
      <w:r>
        <w:t>The broader conclusion is that interpretability and competitiveness are not mutually exclusive. A compact symbolic representation can absorb information from public knowledge resources if those resources are compiled into native codebook structure. The strand/codon architecture still needs more work before it can claim broad dominance over embedding models, especially on dense associative relatedness. But the current branch shows a credible path: preserve the deterministic strand format, increase typed relational expressiveness, and use adapters as transparent experts over the same encoded semantic substrate.</w:t>
      </w:r>
    </w:p>
    <w:p>
      <w:pPr>
        <w:pStyle w:val="Heading1"/>
      </w:pPr>
      <w:r>
        <w:t>References</w:t>
      </w:r>
    </w:p>
    <w:p>
      <w:pPr>
        <w:spacing w:after="120"/>
        <w:ind w:left="360" w:hanging="360"/>
      </w:pPr>
      <w:r>
        <w:t>[1] Pennington, J., Socher, R., and Manning, C. D. (2014). GloVe: Global Vectors for Word Representation. Proceedings of EMNLP 2014. https://aclanthology.org/D14-1162/</w:t>
      </w:r>
    </w:p>
    <w:p>
      <w:pPr>
        <w:spacing w:after="120"/>
        <w:ind w:left="360" w:hanging="360"/>
      </w:pPr>
      <w:r>
        <w:t>[2] Stanford NLP Group. GloVe project page and pretrained Wikipedia 2014 + Gigaword 5 vectors. https://www-nlp.stanford.edu/projects/glove/</w:t>
      </w:r>
    </w:p>
    <w:p>
      <w:pPr>
        <w:spacing w:after="120"/>
        <w:ind w:left="360" w:hanging="360"/>
      </w:pPr>
      <w:r>
        <w:t>[3] Speer, R., Chin, J., and Havasi, C. (2017). ConceptNet 5.5: An Open Multilingual Graph of General Knowledge. AAAI. https://arxiv.org/abs/1612.03975</w:t>
      </w:r>
    </w:p>
    <w:p>
      <w:pPr>
        <w:spacing w:after="120"/>
        <w:ind w:left="360" w:hanging="360"/>
      </w:pPr>
      <w:r>
        <w:t>[4] De Deyne, S., Navarro, D. J., Perfors, A., Brysbaert, M., and Storms, G. (2019). The Small World of Words English word association norms for over 12,000 cue words. Behavior Research Methods, 51, 987-1006. https://pubmed.ncbi.nlm.nih.gov/30298265/</w:t>
      </w:r>
    </w:p>
    <w:p>
      <w:pPr>
        <w:spacing w:after="120"/>
        <w:ind w:left="360" w:hanging="360"/>
      </w:pPr>
      <w:r>
        <w:t>[5] Speer, R. (2019). ConceptNet Numberbatch 19.08. ConceptNet blog. https://blog.conceptnet.io/posts/2019/conceptnet-numberbatch-19-08/</w:t>
      </w:r>
    </w:p>
    <w:p>
      <w:pPr>
        <w:spacing w:after="120"/>
        <w:ind w:left="360" w:hanging="360"/>
      </w:pPr>
      <w:r>
        <w:t>[6] ConceptNet project. ConceptNet 5.7 released and assertion downloads. https://blog.conceptnet.io/posts/2019/conceptnet-57-released/</w:t>
      </w:r>
    </w:p>
    <w:p>
      <w:pPr>
        <w:spacing w:after="120"/>
        <w:ind w:left="360" w:hanging="360"/>
      </w:pPr>
      <w:r>
        <w:t>[7] AuXFire/Strands branch codex/v3-typed-relations-prototype. Local benchmark harness and generated codebook results, executed April 29,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Strands as a Native Relational Alternative to Vector Embeddings: A Typed Codon Codebook Architecture for Interpretable Semantic Retrieval</dc:title>
  <dc:subject/>
  <dc:creator>Student-Researcher</dc:creator>
  <cp:keywords/>
  <dc:description>generated by python-docx</dc:description>
  <cp:lastModifiedBy/>
  <cp:revision>1</cp:revision>
  <dcterms:created xsi:type="dcterms:W3CDTF">2013-12-23T23:15:00Z</dcterms:created>
  <dcterms:modified xsi:type="dcterms:W3CDTF">2013-12-23T23:15:00Z</dcterms:modified>
  <cp:category/>
</cp:coreProperties>
</file>