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EL M’RABET ZINEB</w:t>
        <w:tab/>
        <w:t xml:space="preserve"> Groupe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cc4125"/>
          <w:sz w:val="40"/>
          <w:szCs w:val="40"/>
          <w:highlight w:val="white"/>
        </w:rPr>
      </w:pPr>
      <w:r w:rsidDel="00000000" w:rsidR="00000000" w:rsidRPr="00000000">
        <w:rPr>
          <w:b w:val="1"/>
          <w:color w:val="cc4125"/>
          <w:sz w:val="40"/>
          <w:szCs w:val="40"/>
          <w:rtl w:val="0"/>
        </w:rPr>
        <w:t xml:space="preserve">Compte rendu </w:t>
      </w:r>
      <w:r w:rsidDel="00000000" w:rsidR="00000000" w:rsidRPr="00000000">
        <w:rPr>
          <w:b w:val="1"/>
          <w:color w:val="cc4125"/>
          <w:sz w:val="40"/>
          <w:szCs w:val="40"/>
          <w:highlight w:val="white"/>
          <w:rtl w:val="0"/>
        </w:rPr>
        <w:t xml:space="preserve">configuration de la NAT dynamique</w:t>
      </w:r>
    </w:p>
    <w:p w:rsidR="00000000" w:rsidDel="00000000" w:rsidP="00000000" w:rsidRDefault="00000000" w:rsidRPr="00000000" w14:paraId="00000006">
      <w:pPr>
        <w:rPr>
          <w:b w:val="1"/>
          <w:color w:val="cc4125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Partie 1: Configurer la NAT dynamique </w:t>
      </w:r>
    </w:p>
    <w:p w:rsidR="00000000" w:rsidDel="00000000" w:rsidP="00000000" w:rsidRDefault="00000000" w:rsidRPr="00000000" w14:paraId="00000008">
      <w:pPr>
        <w:rPr>
          <w:i w:val="1"/>
          <w:color w:val="4a86e8"/>
          <w:sz w:val="26"/>
          <w:szCs w:val="26"/>
          <w:highlight w:val="white"/>
        </w:rPr>
      </w:pP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Étape 1:</w:t>
      </w:r>
      <w:r w:rsidDel="00000000" w:rsidR="00000000" w:rsidRPr="00000000">
        <w:rPr>
          <w:b w:val="1"/>
          <w:color w:val="4a86e8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Configurer le trafic qui sera autorisé</w:t>
      </w:r>
      <w:r w:rsidDel="00000000" w:rsidR="00000000" w:rsidRPr="00000000">
        <w:rPr>
          <w:i w:val="1"/>
          <w:color w:val="4a86e8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i w:val="1"/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</w:rPr>
        <w:drawing>
          <wp:inline distB="114300" distT="114300" distL="114300" distR="114300">
            <wp:extent cx="5731200" cy="533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Tous les hôtes du réseau 172.16.0.0 sont éligibles à la traduction.</w:t>
      </w:r>
    </w:p>
    <w:p w:rsidR="00000000" w:rsidDel="00000000" w:rsidP="00000000" w:rsidRDefault="00000000" w:rsidRPr="00000000" w14:paraId="0000000B">
      <w:pPr>
        <w:rPr>
          <w:i w:val="1"/>
          <w:color w:val="4a86e8"/>
          <w:sz w:val="28"/>
          <w:szCs w:val="28"/>
          <w:highlight w:val="white"/>
        </w:rPr>
      </w:pP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Étape 2:</w:t>
      </w:r>
      <w:r w:rsidDel="00000000" w:rsidR="00000000" w:rsidRPr="00000000">
        <w:rPr>
          <w:b w:val="1"/>
          <w:color w:val="4a86e8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Configurez un pool d'adresses pour la NAT</w:t>
      </w:r>
    </w:p>
    <w:p w:rsidR="00000000" w:rsidDel="00000000" w:rsidP="00000000" w:rsidRDefault="00000000" w:rsidRPr="00000000" w14:paraId="0000000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</w:rPr>
        <w:drawing>
          <wp:inline distB="114300" distT="114300" distL="114300" distR="114300">
            <wp:extent cx="5731200" cy="17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Le pool d’adresses qu’on a configuré dans le nat est la marge d’adresses publiques qu'on pourra donner par la suite.</w:t>
      </w:r>
    </w:p>
    <w:p w:rsidR="00000000" w:rsidDel="00000000" w:rsidP="00000000" w:rsidRDefault="00000000" w:rsidRPr="00000000" w14:paraId="0000000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Comme le pool ne contient que 2 adresses publiques, seules deux traductions simultanées peuvent être établies.</w:t>
      </w:r>
    </w:p>
    <w:p w:rsidR="00000000" w:rsidDel="00000000" w:rsidP="00000000" w:rsidRDefault="00000000" w:rsidRPr="00000000" w14:paraId="0000000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Si un troisième hôte essaie de sortir, la traduction échouera et son trafic sera bloqué car il n’y a plus d’adresse publique disponible dans le pool.</w:t>
      </w:r>
    </w:p>
    <w:p w:rsidR="00000000" w:rsidDel="00000000" w:rsidP="00000000" w:rsidRDefault="00000000" w:rsidRPr="00000000" w14:paraId="00000010">
      <w:pPr>
        <w:rPr>
          <w:i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Étape 3:</w:t>
      </w:r>
      <w:r w:rsidDel="00000000" w:rsidR="00000000" w:rsidRPr="00000000">
        <w:rPr>
          <w:b w:val="1"/>
          <w:color w:val="4a86e8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Associez ACL1 au pool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</w:rPr>
        <w:drawing>
          <wp:inline distB="114300" distT="114300" distL="114300" distR="114300">
            <wp:extent cx="5731200" cy="228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On a associé l’ACL 1 au pool d’adresses publiques afin que les hôtes internes puissent être traduits lors de l’accès à Internet.</w:t>
      </w:r>
    </w:p>
    <w:p w:rsidR="00000000" w:rsidDel="00000000" w:rsidP="00000000" w:rsidRDefault="00000000" w:rsidRPr="00000000" w14:paraId="00000013">
      <w:pPr>
        <w:rPr>
          <w:i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Étape 4:</w:t>
      </w:r>
      <w:r w:rsidDel="00000000" w:rsidR="00000000" w:rsidRPr="00000000">
        <w:rPr>
          <w:b w:val="1"/>
          <w:i w:val="1"/>
          <w:color w:val="4a86e8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Configurez les interfaces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</w:rPr>
        <w:drawing>
          <wp:inline distB="114300" distT="114300" distL="114300" distR="114300">
            <wp:extent cx="3086100" cy="8477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8"/>
          <w:szCs w:val="38"/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Partie 2: Vérifier l'implémentation de la NAT</w:t>
      </w:r>
      <w:r w:rsidDel="00000000" w:rsidR="00000000" w:rsidRPr="00000000">
        <w:rPr>
          <w:b w:val="1"/>
          <w:sz w:val="38"/>
          <w:szCs w:val="3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i w:val="1"/>
          <w:color w:val="4a86e8"/>
          <w:sz w:val="44"/>
          <w:szCs w:val="44"/>
          <w:highlight w:val="white"/>
        </w:rPr>
      </w:pP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Étape 1: Accédez aux services sur l'internet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</w:rPr>
        <w:drawing>
          <wp:inline distB="114300" distT="114300" distL="114300" distR="114300">
            <wp:extent cx="5731200" cy="166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On remarque que maintenant depuis PC1, PC2 et L1 on a pu accéder au serveur externe via son adresse publique.</w:t>
      </w:r>
    </w:p>
    <w:p w:rsidR="00000000" w:rsidDel="00000000" w:rsidP="00000000" w:rsidRDefault="00000000" w:rsidRPr="00000000" w14:paraId="00000019">
      <w:pPr>
        <w:rPr>
          <w:i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i w:val="1"/>
          <w:color w:val="4a86e8"/>
          <w:sz w:val="28"/>
          <w:szCs w:val="28"/>
          <w:highlight w:val="white"/>
          <w:rtl w:val="0"/>
        </w:rPr>
        <w:t xml:space="preserve">Étape 2: Affichez les traductions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</w:rPr>
        <w:drawing>
          <wp:inline distB="114300" distT="114300" distL="114300" distR="114300">
            <wp:extent cx="5731200" cy="482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Ici on observe la correspondance entre l’adresse interne 172.16.11.1 et l’adresse publique traduire 209.165.201.5.</w:t>
      </w:r>
    </w:p>
    <w:sectPr>
      <w:headerReference r:id="rId12" w:type="default"/>
      <w:headerReference r:id="rId13" w:type="first"/>
      <w:footerReference r:id="rId1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3990975</wp:posOffset>
          </wp:positionH>
          <wp:positionV relativeFrom="paragraph">
            <wp:posOffset>-342899</wp:posOffset>
          </wp:positionV>
          <wp:extent cx="2143125" cy="1066800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3555" l="0" r="0" t="26666"/>
                  <a:stretch>
                    <a:fillRect/>
                  </a:stretch>
                </pic:blipFill>
                <pic:spPr>
                  <a:xfrm>
                    <a:off x="0" y="0"/>
                    <a:ext cx="2143125" cy="10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-666749</wp:posOffset>
          </wp:positionH>
          <wp:positionV relativeFrom="paragraph">
            <wp:posOffset>-120649</wp:posOffset>
          </wp:positionV>
          <wp:extent cx="4100513" cy="533400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0513" cy="533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