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 w:eastAsia="Times New Roman"/>
          <w:sz w:val="24"/>
          <w:color w:val="000000"/>
        </w:rPr>
        <w:t xml:space="preserve">Парацетамол-Тева</w:t>
      </w:r>
    </w:p>
    <w:p>
      <w:r>
        <w:rPr>
          <w:rFonts w:ascii="Times New Roman" w:hAnsi="Times New Roman" w:eastAsia="Times New Roman"/>
          <w:sz w:val="24"/>
          <w:color w:val="000000"/>
        </w:rPr>
        <w:t xml:space="preserve">Парацетамол 500 мг</w:t>
      </w:r>
    </w:p>
    <w:p>
      <w:r>
        <w:rPr>
          <w:rFonts w:ascii="Times New Roman" w:hAnsi="Times New Roman" w:eastAsia="Times New Roman"/>
          <w:sz w:val="24"/>
          <w:color w:val="000000"/>
        </w:rPr>
        <w:t xml:space="preserve">Таблетки. 20 таблеток.</w:t>
      </w:r>
    </w:p>
    <w:p>
      <w:r>
        <w:rPr>
          <w:rFonts w:ascii="Times New Roman" w:hAnsi="Times New Roman" w:eastAsia="Times New Roman"/>
          <w:sz w:val="24"/>
          <w:color w:val="000000"/>
        </w:rPr>
        <w:t xml:space="preserve">Срок годности: 24 месяца.</w:t>
      </w:r>
    </w:p>
    <w:p>
      <w:r>
        <w:rPr>
          <w:rFonts w:ascii="Times New Roman" w:hAnsi="Times New Roman" w:eastAsia="Times New Roman"/>
          <w:sz w:val="24"/>
          <w:color w:val="000000"/>
        </w:rPr>
        <w:t xml:space="preserve">Условия хранения: Хранить при температуре не выше 25 °C.</w:t>
      </w:r>
    </w:p>
    <w:p>
      <w:r>
        <w:rPr>
          <w:rFonts w:ascii="Times New Roman" w:hAnsi="Times New Roman" w:eastAsia="Times New Roman"/>
          <w:sz w:val="24"/>
          <w:color w:val="000000"/>
        </w:rPr>
        <w:t xml:space="preserve">Производитель: Teva Pharmaceutical Industries Ltd.</w:t>
      </w:r>
    </w:p>
    <w:sectPr>
      <w:pgSz w:w="11906" w:h="16838"/>
      <w:pgMar w:top="1440" w:right="1440" w:bottom="1440" w:left="1440"/>
    </w:sectPr>
  </w:body>
</w:document>
</file>