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Pr>
          <w:rFonts w:cs="Times New Roman"/>
          <w:b/>
          <w:bCs/>
          <w:sz w:val="22"/>
          <w:szCs w:val="22"/>
        </w:rPr>
        <w:t xml:space="preserve">ENGAGEMENT AGREEMENT</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Client: </w:t>
      </w:r>
      <w:r>
        <w:rPr>
          <w:rFonts w:cs="Times New Roman"/>
          <w:sz w:val="22"/>
          <w:szCs w:val="22"/>
        </w:rPr>
        <w:t xml:space="preserve">{primary_name}</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Estate of: </w:t>
      </w:r>
      <w:r>
        <w:rPr>
          <w:rFonts w:cs="Times New Roman"/>
          <w:sz w:val="22"/>
          <w:szCs w:val="22"/>
        </w:rPr>
        <w:t xml:space="preserve">{decedent_name}</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Dear {primary_name}:</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This Agreement confirms your engagement of Aubrey Law, LLC ("the Firm") as your legal counsel. We are committed to providing you with professional and effective legal representation. This Engagement Agreement confirms the terms and scope of our legal services for the probate and administration of the Estate of {decedent_name}.</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1. Scope of Representation</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The Firm's legal services will be limited to advising and representing you in matters related to the probate and administration of the above-referenced estate. If you require legal services beyond this matter, a new engagement agreement will be required, and a separate file opened. This representation does not include:</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1.	Litigation or contested probate proceedings of any kind</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2.	Attendance at court hearings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3.	Appeals or special proceedings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4.	Tax or investment advice or services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5.	Any legal services not expressly listed above</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If excluded services become necessary, they will require a separate written agreement, or we may decline further representation.</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2. Contested Proceedings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This representation covers uncontested probate administration only. If the matter becomes contested, such as through litigation involving challenges to will validity, beneficiary disputes, or other adversarial matters, Aubrey Law, LLC will cease representation in the administration of the estate. In such an event, the Firm will assist in referring you to other counsel who handles contested probate matters.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At the time the matter becomes contested:</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All fees paid to the Firm, the earned portion of any flat fee will be determined in proportion to services rendered through the date of termination</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All outstanding fees and expenses incurred up to that point, whether billed or unbilled, shall become immediately due and payable.</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You agree to promptly pay any remaining balance upon termination of services under this section.</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3. Client and Law Firm Commitments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You agree to:</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If you have questions, you will ask so your law firm can help you make confident, correct decisions.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You will disclose all information your attorney asks for and that is relevant to the case so your attorney can perform their duties.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You will respond to requests from your law firm and attend meetings, so your law firm can expedite the probate process.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We agree to:</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We will be respectful of your time and investment in our services and complete our work in a timely manner.</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We will answer your questions so you can be confident in your decisions.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We will proactively keep you informed about your case to keep you fully apprised of developments.</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4. Client Responsibilities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You remain responsible for:</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1.	Performing the duties of Personal Representative</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2.	Providing timely information and documentation</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3.	Communicating with third parties unless otherwise agreed</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This representation does not include tax, accounting, investment, or valuation advice.</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5. Communication Policy</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The fixed fee includes reasonable communication regarding the matter. Clients are encouraged to consolidate non-urgent questions and utilize email as the primary communication method. Excessive or disruptive communication may necessitate a discussion about scope reassessment or additional services.</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6. Fees and Billing Practices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A flat fee of {flat_fee} will be charged for standard probate administration services, as discussed. Legal fees are billed and charged in advance of each phase of representation, as follows: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1.	Opening Phase: A fixed fee of {opening_fee}, charged immediately upon execution of this agreement and prior to preparation or filing of opening pleadings.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2.	Inventory Phase: {inventory_fee}</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3.	Final Account Phase: {final_account_fee}</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Payment of each phase fee is required before the firm proceeds to the next phase.</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In paying the agreed-upon fee, you acknowledge that the fee is not a "retainer" to be billed against our time. Any payment that has come due and has been paid by you is a prepaid flat fee payment for your continued exclusive use of our services. The fee is earned immediately and will be deposited into our operating account upon receipt and is not subject to a refund unless required by the Rules of Professional Conduct. The fee will be earned if we provide the services described above but are unable to finalize the probate administration despite our best efforts on your behalf to do so.</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7. Administrative and Other Costs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All out-of-pocket expenses incurred on your behalf are separate from and in addition to the fixed legal fees. These expenses include, but are not limited to, court filing fees, publication costs, recording fees, certified copies, postage, courier services, and third-party vendor charges. Expenses are not subject to trust account requirements. Expenses will be (1) Billed in the month incurred, and (2) Charged to the authorized credit card on file immediately when incurred.</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8. Credit Card Authorization</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Client acknowledges that the credit or debit card used to pay the initial fixed fee at the commencement of this representation (the "Card on File") will remain on file with the Firm for the duration of the representation. Client authorizes Aubrey Law, LLC ("Firm") to charge the Card on File for all legal fees and reimbursable expenses due under this Agreement, including the following:</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1.	Authorization to Charge Fixed Fees in Advance of Each Phase: Client authorizes the Firm to charge the Card on File for each fixed-fee installment in advance of the applicable phase of representation, including, but not limited to:</w:t>
      </w:r>
    </w:p>
    <w:p w14:paraId="2E51D7CC" w14:textId="551AA7FD" w:rsidR="00517074" w:rsidRPr="004A58C4" w:rsidRDefault="00BF200D" w:rsidP="009430B9">
      <w:pPr>
        <w:spacing w:before="120" w:after="120"/>
        <w:rPr>
          <w:rFonts w:cs="Times New Roman"/>
          <w:sz w:val="22"/>
          <w:szCs w:val="22"/>
        </w:rPr>
        <w:ind w:left="720"/>
      </w:pPr>
      <w:r>
        <w:rPr>
          <w:rFonts w:cs="Times New Roman"/>
          <w:sz w:val="22"/>
          <w:szCs w:val="22"/>
        </w:rPr>
        <w:t xml:space="preserve">(i)	The Inventory phase, after Letters Testamentary or Letters of Administration have been issued; and</w:t>
      </w:r>
    </w:p>
    <w:p w14:paraId="2E51D7CC" w14:textId="551AA7FD" w:rsidR="00517074" w:rsidRPr="004A58C4" w:rsidRDefault="00BF200D" w:rsidP="009430B9">
      <w:pPr>
        <w:spacing w:before="120" w:after="120"/>
        <w:rPr>
          <w:rFonts w:cs="Times New Roman"/>
          <w:sz w:val="22"/>
          <w:szCs w:val="22"/>
        </w:rPr>
        <w:ind w:left="720"/>
      </w:pPr>
      <w:r>
        <w:rPr>
          <w:rFonts w:cs="Times New Roman"/>
          <w:sz w:val="22"/>
          <w:szCs w:val="22"/>
        </w:rPr>
        <w:t xml:space="preserve">(ii)	The Final Account phase, after the Inventory has been submitted to the Clerk of Court for approval.</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2.	Earned Upon Receipt: Client understands and agrees that all fixed legal fees charged to the Card on File are earned upon receipt, are not retainers for future services, and will not be deposited into a trust or IOLTA account, as permitted by the Massachusetts Rules of Professional Conduct.</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3.	Out-of-Pocket Expenses: Client further authorizes the Firm to charge the Card on File for all out-of-pocket expenses incurred in connection with the representation, including, but not limited to, court costs, filing fees, certified copies, recording fees, postage, courier services, and third-party vendor charges in the month such expenses are incurred, unless otherwise agreed in writing.</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4.	No Additional Authorization Required: Client agrees that no additional notice or authorization is required before charging the Card on File for fees or expenses due under this Agreement, provided such charges are consistent with the fee schedule and scope of services set forth in this Agreement.</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5.	Declined Charges; Withdrawal: If any authorized charge to the Card on File is declined, reversed, or disputed, or if Client revokes or withdraws authorization for the Firm to charge the Card on File:</w:t>
      </w:r>
    </w:p>
    <w:p w14:paraId="2E51D7CC" w14:textId="551AA7FD" w:rsidR="00517074" w:rsidRPr="004A58C4" w:rsidRDefault="00BF200D" w:rsidP="009430B9">
      <w:pPr>
        <w:spacing w:before="120" w:after="120"/>
        <w:rPr>
          <w:rFonts w:cs="Times New Roman"/>
          <w:sz w:val="22"/>
          <w:szCs w:val="22"/>
        </w:rPr>
        <w:ind w:left="720"/>
      </w:pPr>
      <w:r>
        <w:rPr>
          <w:rFonts w:cs="Times New Roman"/>
          <w:sz w:val="22"/>
          <w:szCs w:val="22"/>
        </w:rPr>
        <w:t xml:space="preserve">(i)	The Firm may suspend work immediately; and</w:t>
      </w:r>
    </w:p>
    <w:p w14:paraId="2E51D7CC" w14:textId="551AA7FD" w:rsidR="00517074" w:rsidRPr="004A58C4" w:rsidRDefault="00BF200D" w:rsidP="009430B9">
      <w:pPr>
        <w:spacing w:before="120" w:after="120"/>
        <w:rPr>
          <w:rFonts w:cs="Times New Roman"/>
          <w:sz w:val="22"/>
          <w:szCs w:val="22"/>
        </w:rPr>
        <w:ind w:left="720"/>
      </w:pPr>
      <w:r>
        <w:rPr>
          <w:rFonts w:cs="Times New Roman"/>
          <w:sz w:val="22"/>
          <w:szCs w:val="22"/>
        </w:rPr>
        <w:t xml:space="preserve">(ii)	The Firm may withdraw from representation upon reasonable notice, including filing any previously executed consent to withdrawal with the court, if applicable. Client further agrees that failure to satisfy any authorized charge or invoice within 14 days of issuance constitutes grounds for withdrawal from representation.</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6.	Client Responsibility to Maintain Valid Card on File: Client agrees to maintain a valid Card on File throughout the representation and to promptly update payment information as needed. The Firm is not responsible for delays caused by expired, invalid, or outdated payment information.</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9. Withdrawal and Consent</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Failure to maintain valid payment authorization constitutes a material breach of this agreement. The firm may suspend work and withdraw if:</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A scheduled fee cannot be charged</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A charge is declined</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Authorization is revoked</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Any balance remains unpaid more than fourteen (14) days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Client agrees to timely respond to Firm communications and provide all requested documents and information necessary to advance the matter. If Client:</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Fails to respond to Firm communications for fourteen (14) consecutive days;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Fails to provide requested documents or information within a reasonable time; or</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Directs Firm to act contrary to Firm's legal advice or otherwise acts inconsistently with Firm's recommendations,</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then Firm may, in its discretion, withdraw and terminate this Agreement, subject to court approval as required. Upon termination under this provision, all fees earned to date shall remain due and payable, and Client shall be responsible for all costs incurred. Firm will take reasonable steps as required by the Rules of Professional Conduct to protect Client's interests upon withdrawal. Upon commencement of representation, Client agrees to cooperate with any required withdrawal motion, and firm will take all steps required by Rule 1.16 if representation terminates for any reason.</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10. File Retention and Destruction</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Upon conclusion of this matter, Client's file will be closed and maintained for seven (7) years. After this period, the file may be destroyed in a confidential manner. Client must notify Firm in writing if Client wishes to receive a copy of the file prior to destruction.</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11. Governing Law</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This Agreement shall be governed by and construed in accordance with the laws of the Commonwealth of Massachusetts, and the Massachusetts Rules of Professional Conduct.</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12. Acknowledgment and Consent</w:t>
      </w:r>
    </w:p>
    <w:p w14:paraId="2E51D7CC" w14:textId="551AA7FD" w:rsidR="00517074" w:rsidRPr="004A58C4" w:rsidRDefault="00BF200D" w:rsidP="009430B9">
      <w:pPr>
        <w:spacing w:before="120" w:after="120"/>
        <w:rPr>
          <w:rFonts w:cs="Times New Roman"/>
          <w:sz w:val="22"/>
          <w:szCs w:val="22"/>
        </w:rPr>
      </w:pPr>
      <w:r>
        <w:rPr>
          <w:rFonts w:cs="Times New Roman"/>
          <w:sz w:val="22"/>
          <w:szCs w:val="22"/>
        </w:rPr>
        <w:t xml:space="preserve">By signing below, Client acknowledges and agrees that:</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Client understands and accepts the fixed-fee, phased billing structure</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Client consents to advance billing and automatic credit card charges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Client understands fees are earned upon receipt, subject to ethical refund obligations</w:t>
      </w:r>
    </w:p>
    <w:p w14:paraId="2E51D7CC" w14:textId="551AA7FD" w:rsidR="00517074" w:rsidRPr="004A58C4" w:rsidRDefault="00BF200D" w:rsidP="009430B9">
      <w:pPr>
        <w:spacing w:before="120" w:after="120"/>
        <w:rPr>
          <w:rFonts w:cs="Times New Roman"/>
          <w:sz w:val="22"/>
          <w:szCs w:val="22"/>
        </w:rPr>
        <w:ind w:left="360"/>
      </w:pPr>
      <w:r>
        <w:rPr>
          <w:rFonts w:cs="Times New Roman"/>
          <w:sz w:val="22"/>
          <w:szCs w:val="22"/>
        </w:rPr>
        <w:t xml:space="preserve">•	Client understands the scope limitations and exclusions.</w:t>
      </w:r>
    </w:p>
    <w:p w14:paraId="2E51D7CC" w14:textId="551AA7FD" w:rsidR="00517074" w:rsidRPr="004A58C4" w:rsidRDefault="00BF200D" w:rsidP="009430B9">
      <w:pPr>
        <w:spacing w:before="120" w:after="120"/>
        <w:rPr>
          <w:rFonts w:cs="Times New Roman"/>
          <w:sz w:val="22"/>
          <w:szCs w:val="22"/>
        </w:rPr>
      </w:pPr>
      <w:r>
        <w:rPr>
          <w:rFonts w:cs="Times New Roman"/>
          <w:b/>
          <w:bCs/>
          <w:sz w:val="22"/>
          <w:szCs w:val="22"/>
        </w:rPr>
        <w:t xml:space="preserve">Acknowledgment and Agreement by Client:</w:t>
      </w:r>
    </w:p>
    <w:p w14:paraId="079D1BE5" w14:textId="55306AE8" w:rsidR="00517074" w:rsidRPr="004A58C4" w:rsidRDefault="00BF200D">
      <w:pPr>
        <w:rPr>
          <w:rFonts w:cs="Times New Roman"/>
          <w:sz w:val="22"/>
          <w:szCs w:val="22"/>
        </w:rPr>
      </w:pPr>
      <w:r w:rsidRPr="004A58C4">
        <w:rPr>
          <w:rFonts w:cs="Times New Roman"/>
          <w:sz w:val="22"/>
          <w:szCs w:val="22"/>
        </w:rPr>
        <w:lastRenderedPageBreak/>
        <w:t xml:space="preserve">I have read, understand, and agree to the terms set forth in this Engagement Agreement.</w:t>
      </w:r>
    </w:p>
    <w:p w14:paraId="3143CDE6" w14:textId="77777777" w:rsidR="00517074" w:rsidRPr="004A58C4" w:rsidRDefault="00517074">
      <w:pPr>
        <w:rPr>
          <w:rFonts w:cs="Times New Roman"/>
          <w:sz w:val="22"/>
          <w:szCs w:val="22"/>
        </w:rPr>
      </w:pPr>
    </w:p>
    <w:p w14:paraId="113EC2C1" w14:textId="77777777" w:rsidR="00517074" w:rsidRPr="004A58C4" w:rsidRDefault="00BF200D">
      <w:pPr>
        <w:rPr>
          <w:rFonts w:cs="Times New Roman"/>
          <w:sz w:val="22"/>
          <w:szCs w:val="22"/>
        </w:rPr>
      </w:pPr>
      <w:r w:rsidRPr="004A58C4">
        <w:rPr>
          <w:rFonts w:cs="Times New Roman"/>
          <w:sz w:val="22"/>
          <w:szCs w:val="22"/>
        </w:rPr>
        <w:t>ACKNOWLEDGED AND AGREED TO:</w:t>
      </w:r>
    </w:p>
    <w:p w14:paraId="2FC2238E" w14:textId="77777777" w:rsidR="00517074" w:rsidRPr="004A58C4" w:rsidRDefault="00517074">
      <w:pPr>
        <w:rPr>
          <w:rFonts w:cs="Times New Roman"/>
          <w:sz w:val="22"/>
          <w:szCs w:val="22"/>
        </w:rPr>
      </w:pPr>
    </w:p>
    <w:p w14:paraId="45DAD654" w14:textId="77777777" w:rsidR="00517074" w:rsidRPr="004A58C4" w:rsidRDefault="00BF200D">
      <w:pPr>
        <w:rPr>
          <w:rFonts w:cs="Times New Roman"/>
          <w:sz w:val="22"/>
          <w:szCs w:val="22"/>
        </w:rPr>
      </w:pPr>
      <w:r w:rsidRPr="004A58C4">
        <w:rPr>
          <w:rFonts w:cs="Times New Roman"/>
          <w:b/>
          <w:bCs/>
          <w:sz w:val="22"/>
          <w:szCs w:val="22"/>
        </w:rPr>
        <w:t>AUBREY LAW, LLC</w:t>
      </w:r>
    </w:p>
    <w:p w14:paraId="775D22E3" w14:textId="77777777" w:rsidR="00517074" w:rsidRPr="004A58C4" w:rsidRDefault="00517074">
      <w:pPr>
        <w:rPr>
          <w:rFonts w:cs="Times New Roman"/>
          <w:sz w:val="22"/>
          <w:szCs w:val="22"/>
        </w:rPr>
      </w:pPr>
    </w:p>
    <w:p w14:paraId="4B105E84" w14:textId="77777777" w:rsidR="00517074" w:rsidRPr="004A58C4" w:rsidRDefault="00BF200D">
      <w:pPr>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pPr>
        <w:keepNext/>
        <w:rPr>
          <w:rFonts w:cs="Times New Roman"/>
          <w:sz w:val="22"/>
          <w:szCs w:val="22"/>
        </w:rPr>
      </w:pPr>
      <w:r w:rsidRPr="004A58C4">
        <w:rPr>
          <w:rFonts w:cs="Times New Roman"/>
          <w:sz w:val="22"/>
          <w:szCs w:val="22"/>
        </w:rPr>
        <w:t>Scott Aubrey, Esq.</w:t>
      </w:r>
    </w:p>
    <w:p w14:paraId="56ABC014" w14:textId="77777777" w:rsidR="0074416B" w:rsidRPr="004A58C4" w:rsidRDefault="0074416B">
      <w:pPr>
        <w:keepNext/>
        <w:rPr>
          <w:rFonts w:cs="Times New Roman"/>
          <w:sz w:val="22"/>
          <w:szCs w:val="22"/>
        </w:rPr>
      </w:pPr>
    </w:p>
    <w:p w14:paraId="639F929C" w14:textId="77777777" w:rsidR="0074416B" w:rsidRPr="004A58C4" w:rsidRDefault="0074416B">
      <w:pPr>
        <w:keepNext/>
        <w:rPr>
          <w:rFonts w:cs="Times New Roman"/>
          <w:sz w:val="22"/>
          <w:szCs w:val="22"/>
        </w:rPr>
      </w:pPr>
    </w:p>
    <w:p w14:paraId="6C0D07F1" w14:textId="77777777" w:rsidR="007A5E8B" w:rsidRPr="004A58C4" w:rsidRDefault="007A5E8B">
      <w:pPr>
        <w:keepNext/>
        <w:rPr>
          <w:rFonts w:cs="Times New Roman"/>
          <w:sz w:val="22"/>
          <w:szCs w:val="22"/>
        </w:rPr>
      </w:pPr>
    </w:p>
    <w:p w14:paraId="70258EC7" w14:textId="77777777" w:rsidR="007A5E8B" w:rsidRPr="004A58C4" w:rsidRDefault="007A5E8B">
      <w:pPr>
        <w:keepNext/>
        <w:rPr>
          <w:rFonts w:cs="Times New Roman"/>
          <w:sz w:val="22"/>
          <w:szCs w:val="22"/>
        </w:rPr>
      </w:pPr>
    </w:p>
    <w:tbl>
      <w:tblPr>
        <w:tblStyle w:val="TableGrid"/>
        <w:tblW w:w="209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tblGrid>
      <w:tr w:rsidR="00154F74" w:rsidRPr="00DE53A9" w14:paraId="1BA1ED28" w14:textId="77777777" w:rsidTr="00FB7781">
        <w:trPr>
          <w:cantSplit/>
          <w:trHeight w:val="605"/>
        </w:trPr>
        <w:tc>
          <w:tcPr>
            <w:tcW w:w="5000" w:type="pct"/>
            <w:tcBorders>
              <w:bottom w:val="single" w:sz="4" w:space="0" w:color="auto"/>
            </w:tcBorders>
          </w:tcPr>
          <w:p w14:paraId="5EB1257A" w14:textId="77777777" w:rsidR="00154F74" w:rsidRPr="00DE53A9" w:rsidRDefault="00154F74" w:rsidP="00FB7781">
            <w:pPr>
              <w:keepNext/>
              <w:autoSpaceDE w:val="0"/>
              <w:autoSpaceDN w:val="0"/>
              <w:adjustRightInd w:val="0"/>
              <w:spacing w:after="120"/>
              <w:rPr>
                <w:rFonts w:cs="Times New Roman"/>
                <w:sz w:val="22"/>
                <w:szCs w:val="22"/>
              </w:rPr>
            </w:pPr>
          </w:p>
          <w:p w14:paraId="0B6A5E33" w14:textId="77777777" w:rsidR="00154F74" w:rsidRPr="00DE53A9" w:rsidRDefault="00154F74" w:rsidP="00FB7781">
            <w:pPr>
              <w:keepNext/>
              <w:autoSpaceDE w:val="0"/>
              <w:autoSpaceDN w:val="0"/>
              <w:adjustRightInd w:val="0"/>
              <w:spacing w:after="120"/>
              <w:rPr>
                <w:rFonts w:cs="Times New Roman"/>
                <w:sz w:val="22"/>
                <w:szCs w:val="22"/>
              </w:rPr>
            </w:pPr>
          </w:p>
          <w:p w14:paraId="4B8F651B" w14:textId="77777777" w:rsidR="004C76B2" w:rsidRPr="00DE53A9" w:rsidRDefault="004C76B2" w:rsidP="00FB7781">
            <w:pPr>
              <w:keepNext/>
              <w:autoSpaceDE w:val="0"/>
              <w:autoSpaceDN w:val="0"/>
              <w:adjustRightInd w:val="0"/>
              <w:spacing w:after="120"/>
              <w:rPr>
                <w:rFonts w:cs="Times New Roman"/>
                <w:sz w:val="22"/>
                <w:szCs w:val="22"/>
              </w:rPr>
            </w:pPr>
          </w:p>
          <w:p w14:paraId="4CF79CAD" w14:textId="6751524B" w:rsidR="00154F74" w:rsidRPr="00DE53A9" w:rsidRDefault="00C94142" w:rsidP="00FB7781">
            <w:pPr>
              <w:keepNext/>
              <w:autoSpaceDE w:val="0"/>
              <w:autoSpaceDN w:val="0"/>
              <w:adjustRightInd w:val="0"/>
              <w:spacing w:after="120"/>
              <w:rPr>
                <w:rFonts w:cs="Times New Roman"/>
                <w:sz w:val="22"/>
                <w:szCs w:val="22"/>
              </w:rPr>
            </w:pPr>
            <w:r>
              <w:rPr>
                <w:rFonts w:cs="Times New Roman"/>
                <w:sz w:val="22"/>
                <w:szCs w:val="22"/>
                <w:color w:val="FFFFFF"/>
              </w:rPr>
              <w:t>[[CLIENT_1_SIGNATURE]]</w:t>
            </w:r>
          </w:p>
        </w:tc>
      </w:tr>
      <w:tr w:rsidR="00154F74" w:rsidRPr="00DE53A9" w14:paraId="72EFB000" w14:textId="77777777" w:rsidTr="00FB7781">
        <w:trPr>
          <w:cantSplit/>
          <w:trHeight w:val="605"/>
        </w:trPr>
        <w:tc>
          <w:tcPr>
            <w:tcW w:w="5000" w:type="pct"/>
            <w:tcBorders>
              <w:top w:val="single" w:sz="4" w:space="0" w:color="auto"/>
            </w:tcBorders>
          </w:tcPr>
          <w:p w14:paraId="2E13CA09" w14:textId="5C93119B" w:rsidR="00154F74" w:rsidRPr="00DE53A9" w:rsidRDefault="00415F94" w:rsidP="00FB7781">
            <w:pPr>
              <w:keepNext/>
              <w:autoSpaceDE w:val="0"/>
              <w:autoSpaceDN w:val="0"/>
              <w:adjustRightInd w:val="0"/>
              <w:jc w:val="left"/>
              <w:rPr>
                <w:rFonts w:cs="Times New Roman"/>
                <w:caps/>
                <w:sz w:val="22"/>
                <w:szCs w:val="22"/>
              </w:rPr>
            </w:pPr>
            <w:r>
              <w:rPr>
                <w:rFonts w:cs="Times New Roman"/>
                <w:sz w:val="22"/>
                <w:szCs w:val="22"/>
              </w:rPr>
              <w:t>{primary_name} ({primary_email})</w:t>
            </w:r>
          </w:p>
        </w:tc>
      </w:tr>
      <w:tr w:rsidR="00154F74" w:rsidRPr="00DE53A9" w14:paraId="0C0A92AE" w14:textId="77777777" w:rsidTr="00154F74">
        <w:trPr>
          <w:cantSplit/>
          <w:trHeight w:val="1017"/>
        </w:trPr>
        <w:tc>
          <w:tcPr>
            <w:tcW w:w="5000"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DE53A9">
              <w:rPr>
                <w:rFonts w:cs="Times New Roman"/>
                <w:sz w:val="22"/>
                <w:szCs w:val="22"/>
                <w:color w:val="FFFFFF"/>
              </w:rPr>
              <w:t>[[CLIENT_1_DATE]]</w:t>
            </w:r>
            <w:proofErr w:type="spellStart"/>
            <w:r w:rsidR="0049745F">
              <w:rPr>
                <w:rFonts w:cs="Times New Roman"/>
                <w:sz w:val="22"/>
                <w:szCs w:val="22"/>
              </w:rPr>
              <w:t/>
            </w:r>
            <w:r w:rsidR="00CC367E">
              <w:rPr>
                <w:rFonts w:cs="Times New Roman"/>
                <w:sz w:val="22"/>
                <w:szCs w:val="22"/>
              </w:rPr>
              <w:t/>
            </w:r>
            <w:proofErr w:type="spellEnd"/>
            <w:r w:rsidR="00DE53A9" w:rsidRPr="00DE53A9">
              <w:rPr>
                <w:rFonts w:cs="Times New Roman"/>
                <w:sz w:val="22"/>
                <w:szCs w:val="22"/>
              </w:rPr>
              <w:t/>
            </w:r>
          </w:p>
        </w:tc>
      </w:tr>
    </w:tbl>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pgSz w:w="12240" w:h="15840"/>
          <w:pgMar w:top="1440" w:right="1080" w:bottom="1440" w:left="1080" w:header="720" w:footer="432" w:gutter="0"/>
          <w:pgNumType w:fmt="numberInDash"/>
          <w:cols w:space="720"/>
          <w:docGrid w:linePitch="360"/>
        </w:sectPr>
      </w:pPr>
    </w:p>
    <w:p>
      <w:r>
        <w:rPr>
          <w:b/>
        </w:rPr>
        <w:t>Additional Clauses</w:t>
      </w:r>
    </w:p>
    <w:p>
      <w:r>
        <w:rPr>
          <w:b w:val="0"/>
        </w:rPr>
        <w:t>{#additional_clauses}</w:t>
      </w:r>
    </w:p>
    <w:p>
      <w:r>
        <w:rPr>
          <w:b/>
        </w:rPr>
        <w:t>{title}</w:t>
      </w:r>
    </w:p>
    <w:p>
      <w:r>
        <w:rPr>
          <w:b w:val="0"/>
        </w:rPr>
        <w:t>{text}</w:t>
      </w:r>
    </w:p>
    <w:p>
      <w:r>
        <w:rPr>
          <w:b w:val="0"/>
        </w:rPr>
        <w:t>{/additional_clauses}</w:t>
      </w: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2B42" w14:textId="77777777" w:rsidR="00A0176D" w:rsidRDefault="00A0176D" w:rsidP="002A3520">
      <w:r>
        <w:separator/>
      </w:r>
    </w:p>
  </w:endnote>
  <w:endnote w:type="continuationSeparator" w:id="0">
    <w:p w14:paraId="01AAB0C4" w14:textId="77777777" w:rsidR="00A0176D" w:rsidRDefault="00A0176D"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9A47" w14:textId="77777777" w:rsidR="00A0176D" w:rsidRDefault="00A0176D" w:rsidP="002A3520">
      <w:r>
        <w:separator/>
      </w:r>
    </w:p>
  </w:footnote>
  <w:footnote w:type="continuationSeparator" w:id="0">
    <w:p w14:paraId="5611E1C0" w14:textId="77777777" w:rsidR="00A0176D" w:rsidRDefault="00A0176D"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B6213"/>
    <w:multiLevelType w:val="hybridMultilevel"/>
    <w:tmpl w:val="6C661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3"/>
  </w:num>
  <w:num w:numId="2" w16cid:durableId="1854107506">
    <w:abstractNumId w:val="0"/>
  </w:num>
  <w:num w:numId="3" w16cid:durableId="1105809462">
    <w:abstractNumId w:val="5"/>
  </w:num>
  <w:num w:numId="4" w16cid:durableId="1184444156">
    <w:abstractNumId w:val="2"/>
  </w:num>
  <w:num w:numId="5" w16cid:durableId="1093236557">
    <w:abstractNumId w:val="4"/>
  </w:num>
  <w:num w:numId="6" w16cid:durableId="199795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5555A"/>
    <w:rsid w:val="000758C8"/>
    <w:rsid w:val="000A4006"/>
    <w:rsid w:val="000A44FA"/>
    <w:rsid w:val="000D0BD7"/>
    <w:rsid w:val="000D79EC"/>
    <w:rsid w:val="00107D59"/>
    <w:rsid w:val="00112EF2"/>
    <w:rsid w:val="00114C56"/>
    <w:rsid w:val="0013117E"/>
    <w:rsid w:val="00154F74"/>
    <w:rsid w:val="00161DE2"/>
    <w:rsid w:val="00172705"/>
    <w:rsid w:val="00185E07"/>
    <w:rsid w:val="00186353"/>
    <w:rsid w:val="001A2C8B"/>
    <w:rsid w:val="001A780A"/>
    <w:rsid w:val="001B672C"/>
    <w:rsid w:val="001C66CC"/>
    <w:rsid w:val="001E333F"/>
    <w:rsid w:val="001F4349"/>
    <w:rsid w:val="00210C47"/>
    <w:rsid w:val="00220CF1"/>
    <w:rsid w:val="00235EA2"/>
    <w:rsid w:val="00236C6E"/>
    <w:rsid w:val="0028391C"/>
    <w:rsid w:val="002A3520"/>
    <w:rsid w:val="002A3BA3"/>
    <w:rsid w:val="002A4F13"/>
    <w:rsid w:val="002C35B4"/>
    <w:rsid w:val="002D5AAE"/>
    <w:rsid w:val="002E40E2"/>
    <w:rsid w:val="0031184D"/>
    <w:rsid w:val="00313ECE"/>
    <w:rsid w:val="00321BAF"/>
    <w:rsid w:val="003521D6"/>
    <w:rsid w:val="00353DD8"/>
    <w:rsid w:val="00366550"/>
    <w:rsid w:val="00367B14"/>
    <w:rsid w:val="003740F4"/>
    <w:rsid w:val="00380C3E"/>
    <w:rsid w:val="003829ED"/>
    <w:rsid w:val="00385172"/>
    <w:rsid w:val="00394B34"/>
    <w:rsid w:val="003B339C"/>
    <w:rsid w:val="003C2446"/>
    <w:rsid w:val="003E3ACF"/>
    <w:rsid w:val="003F353A"/>
    <w:rsid w:val="0040304B"/>
    <w:rsid w:val="00415F94"/>
    <w:rsid w:val="00416326"/>
    <w:rsid w:val="00422AC1"/>
    <w:rsid w:val="004414CE"/>
    <w:rsid w:val="0046015D"/>
    <w:rsid w:val="00464768"/>
    <w:rsid w:val="00483DE1"/>
    <w:rsid w:val="00494AC2"/>
    <w:rsid w:val="0049745F"/>
    <w:rsid w:val="004A41FE"/>
    <w:rsid w:val="004A58C4"/>
    <w:rsid w:val="004A6137"/>
    <w:rsid w:val="004C76B2"/>
    <w:rsid w:val="004D66ED"/>
    <w:rsid w:val="004F664C"/>
    <w:rsid w:val="00503287"/>
    <w:rsid w:val="005043A6"/>
    <w:rsid w:val="00504869"/>
    <w:rsid w:val="00517074"/>
    <w:rsid w:val="00525F5A"/>
    <w:rsid w:val="00531930"/>
    <w:rsid w:val="005522CE"/>
    <w:rsid w:val="00571B95"/>
    <w:rsid w:val="00571D5D"/>
    <w:rsid w:val="005827EF"/>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6E7B37"/>
    <w:rsid w:val="0071493B"/>
    <w:rsid w:val="00717C89"/>
    <w:rsid w:val="00726AD5"/>
    <w:rsid w:val="0074416B"/>
    <w:rsid w:val="00745562"/>
    <w:rsid w:val="00765570"/>
    <w:rsid w:val="00782239"/>
    <w:rsid w:val="00783AE5"/>
    <w:rsid w:val="007866CA"/>
    <w:rsid w:val="007A5E8B"/>
    <w:rsid w:val="007A7E62"/>
    <w:rsid w:val="007B0F7E"/>
    <w:rsid w:val="007C371E"/>
    <w:rsid w:val="007C58E9"/>
    <w:rsid w:val="007D45BC"/>
    <w:rsid w:val="007E1C85"/>
    <w:rsid w:val="00812CA8"/>
    <w:rsid w:val="008328AC"/>
    <w:rsid w:val="00832D5E"/>
    <w:rsid w:val="00873762"/>
    <w:rsid w:val="00877E27"/>
    <w:rsid w:val="00896C5A"/>
    <w:rsid w:val="008B1F50"/>
    <w:rsid w:val="008B370D"/>
    <w:rsid w:val="008C2EA8"/>
    <w:rsid w:val="008C35AD"/>
    <w:rsid w:val="008C4C72"/>
    <w:rsid w:val="008D4A6F"/>
    <w:rsid w:val="008D7BB8"/>
    <w:rsid w:val="008E102F"/>
    <w:rsid w:val="008F77DE"/>
    <w:rsid w:val="009038A2"/>
    <w:rsid w:val="0091453B"/>
    <w:rsid w:val="00917D30"/>
    <w:rsid w:val="009430B9"/>
    <w:rsid w:val="0096406A"/>
    <w:rsid w:val="0096586B"/>
    <w:rsid w:val="009A1B87"/>
    <w:rsid w:val="009B4A02"/>
    <w:rsid w:val="009C4EB1"/>
    <w:rsid w:val="009C681D"/>
    <w:rsid w:val="009C7E2F"/>
    <w:rsid w:val="009F0BD3"/>
    <w:rsid w:val="009F2F67"/>
    <w:rsid w:val="00A0176D"/>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AF5665"/>
    <w:rsid w:val="00B17BAC"/>
    <w:rsid w:val="00B45D58"/>
    <w:rsid w:val="00B56066"/>
    <w:rsid w:val="00B777FC"/>
    <w:rsid w:val="00BF11AD"/>
    <w:rsid w:val="00BF16F9"/>
    <w:rsid w:val="00BF200D"/>
    <w:rsid w:val="00C16F6B"/>
    <w:rsid w:val="00C17AB9"/>
    <w:rsid w:val="00C27A58"/>
    <w:rsid w:val="00C33032"/>
    <w:rsid w:val="00C42B06"/>
    <w:rsid w:val="00C66F69"/>
    <w:rsid w:val="00C85608"/>
    <w:rsid w:val="00C94142"/>
    <w:rsid w:val="00CA41A5"/>
    <w:rsid w:val="00CB6AA7"/>
    <w:rsid w:val="00CC367E"/>
    <w:rsid w:val="00CC4402"/>
    <w:rsid w:val="00CD2EA2"/>
    <w:rsid w:val="00CD5253"/>
    <w:rsid w:val="00CE1A54"/>
    <w:rsid w:val="00D01815"/>
    <w:rsid w:val="00D1015F"/>
    <w:rsid w:val="00D101FA"/>
    <w:rsid w:val="00D21320"/>
    <w:rsid w:val="00D26758"/>
    <w:rsid w:val="00D40761"/>
    <w:rsid w:val="00D4665C"/>
    <w:rsid w:val="00D53F23"/>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E0C6F"/>
    <w:rsid w:val="00EF1DF5"/>
    <w:rsid w:val="00F0382D"/>
    <w:rsid w:val="00F20ADA"/>
    <w:rsid w:val="00F37EDE"/>
    <w:rsid w:val="00F504A9"/>
    <w:rsid w:val="00F62F9D"/>
    <w:rsid w:val="00F76CEF"/>
    <w:rsid w:val="00F94651"/>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D01815"/>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Pages>
  <Words>2432</Words>
  <Characters>12720</Characters>
  <Application>Microsoft Office Word</Application>
  <DocSecurity>0</DocSecurity>
  <Lines>181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20</cp:revision>
  <dcterms:created xsi:type="dcterms:W3CDTF">2026-06-04T17:45:00Z</dcterms:created>
  <dcterms:modified xsi:type="dcterms:W3CDTF">2026-06-04T18:23:00Z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