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aramond" w:cs="Garamond" w:eastAsia="Garamond" w:hAnsi="Garamond"/>
          <w:b/>
          <w:bCs/>
          <w:caps/>
          <w:color w:val="0F6E56"/>
          <w:spacing w:val="30"/>
          <w:sz w:val="22"/>
          <w:szCs w:val="22"/>
        </w:rPr>
        <w:t xml:space="preserve">AUBREY LAW LLC</w:t>
      </w:r>
    </w:p>
    <w:p>
      <w:pPr>
        <w:pBdr>
          <w:bottom w:val="single" w:color="1B3A6B" w:sz="18" w:space="6"/>
        </w:pBdr>
        <w:spacing w:after="0" w:before="60"/>
      </w:pPr>
      <w:r>
        <w:rPr>
          <w:rFonts w:ascii="Garamond" w:cs="Garamond" w:eastAsia="Garamond" w:hAnsi="Garamond"/>
          <w:b/>
          <w:bCs/>
          <w:color w:val="1B3A6B"/>
          <w:sz w:val="48"/>
          <w:szCs w:val="48"/>
        </w:rPr>
        <w:t xml:space="preserve">Estate Plan Design Summary</w:t>
      </w:r>
    </w:p>
    <w:p>
      <w:pPr>
        <w:spacing w:after="0" w:before="140"/>
      </w:pPr>
      <w:r>
        <w:rPr>
          <w:rFonts w:ascii="Garamond" w:cs="Garamond" w:eastAsia="Garamond" w:hAnsi="Garamond"/>
          <w:color w:val="1A1A1A"/>
          <w:sz w:val="24"/>
          <w:szCs w:val="24"/>
        </w:rPr>
        <w:t>Prepared for:  {% if has_spouse %}{{ client.full_name | name }} and {{ spouse.full_name | name }}{% else %}{{ client.full_name | name }}{% endif %}</w:t>
      </w:r>
      <w:r>
        <w:rPr>
          <w:rFonts w:ascii="Garamond" w:cs="Garamond" w:eastAsia="Garamond" w:hAnsi="Garamond"/>
          <w:b/>
          <w:bCs/>
          <w:color w:val="1B3A6B"/>
          <w:sz w:val="24"/>
          <w:szCs w:val="24"/>
        </w:rPr>
      </w:r>
    </w:p>
    <w:p>
      <w:pPr>
        <w:spacing w:after="0" w:before="40"/>
      </w:pPr>
      <w:r>
        <w:rPr>
          <w:rFonts w:ascii="Garamond" w:cs="Garamond" w:eastAsia="Garamond" w:hAnsi="Garamond"/>
          <w:color w:val="1A1A1A"/>
          <w:sz w:val="24"/>
          <w:szCs w:val="24"/>
        </w:rPr>
        <w:t xml:space="preserve">Design meeting date:  </w:t>
      </w:r>
      <w:r>
        <w:rPr>
          <w:rFonts w:ascii="Garamond" w:cs="Garamond" w:eastAsia="Garamond" w:hAnsi="Garamond"/>
          <w:color w:val="1A1A1A"/>
          <w:sz w:val="24"/>
          <w:szCs w:val="24"/>
        </w:rPr>
        <w:t xml:space="preserve">______________________</w:t>
      </w:r>
    </w:p>
    <w:p>
      <w:pPr>
        <w:spacing w:after="0" w:before="120"/>
      </w:pPr>
      <w:r>
        <w:rPr>
          <w:rFonts w:ascii="Garamond" w:cs="Garamond" w:eastAsia="Garamond" w:hAnsi="Garamond"/>
          <w:i/>
          <w:iCs/>
          <w:color w:val="0F6E56"/>
          <w:sz w:val="22"/>
          <w:szCs w:val="22"/>
        </w:rPr>
        <w:t xml:space="preserve">Draft for your review — not a legal document</w:t>
      </w:r>
    </w:p>
    <w:p>
      <w:pPr>
        <w:keepNext/>
        <w:pBdr>
          <w:bottom w:val="single" w:color="1A7A6D" w:sz="14" w:space="4"/>
        </w:pBdr>
        <w:spacing w:after="140" w:before="320"/>
      </w:pPr>
      <w:r>
        <w:rPr>
          <w:rFonts w:ascii="Garamond" w:cs="Garamond" w:eastAsia="Garamond" w:hAnsi="Garamond"/>
          <w:b/>
          <w:bCs/>
          <w:color w:val="1B3A6B"/>
          <w:sz w:val="30"/>
          <w:szCs w:val="30"/>
        </w:rPr>
        <w:t xml:space="preserve">How to Use This Summary</w:t>
      </w:r>
    </w:p>
    <w:p>
      <w:pPr>
        <w:spacing w:after="160" w:before="0" w:line="288"/>
      </w:pPr>
      <w:r>
        <w:rPr>
          <w:rFonts w:ascii="Garamond" w:cs="Garamond" w:eastAsia="Garamond" w:hAnsi="Garamond"/>
          <w:b w:val="false"/>
          <w:bCs w:val="false"/>
          <w:i w:val="false"/>
          <w:iCs w:val="false"/>
          <w:caps w:val="false"/>
          <w:color w:val="1A1A1A"/>
          <w:sz w:val="22"/>
          <w:szCs w:val="22"/>
        </w:rPr>
        <w:t xml:space="preserve">This summary captures the key decisions that will shape your estate plan. We will walk through it together at your design meeting. Reviewing it beforehand will make our time together focused and productive.</w:t>
      </w:r>
    </w:p>
    <w:p>
      <w:pPr>
        <w:spacing w:after="160" w:before="0" w:line="288"/>
      </w:pPr>
      <w:r>
        <w:rPr>
          <w:rFonts w:ascii="Garamond" w:cs="Garamond" w:eastAsia="Garamond" w:hAnsi="Garamond"/>
          <w:b w:val="false"/>
          <w:bCs w:val="false"/>
          <w:i w:val="false"/>
          <w:iCs w:val="false"/>
          <w:caps w:val="false"/>
          <w:color w:val="1A1A1A"/>
          <w:sz w:val="22"/>
          <w:szCs w:val="22"/>
        </w:rPr>
        <w:t xml:space="preserve">As you read, look for two things: </w:t>
      </w:r>
      <w:r>
        <w:rPr>
          <w:rFonts w:ascii="Garamond" w:cs="Garamond" w:eastAsia="Garamond" w:hAnsi="Garamond"/>
          <w:b w:val="false"/>
          <w:bCs w:val="false"/>
          <w:i w:val="false"/>
          <w:iCs w:val="false"/>
          <w:caps w:val="false"/>
          <w:color w:val="1A1A1A"/>
          <w:sz w:val="22"/>
          <w:szCs w:val="22"/>
        </w:rPr>
        <w:t xml:space="preserve">blanks (</w:t>
      </w:r>
      <w:r>
        <w:rPr>
          <w:rFonts w:ascii="Garamond" w:cs="Garamond" w:eastAsia="Garamond" w:hAnsi="Garamond"/>
          <w:b w:val="false"/>
          <w:bCs w:val="false"/>
          <w:i w:val="false"/>
          <w:iCs w:val="false"/>
          <w:caps w:val="false"/>
          <w:color w:val="1A1A1A"/>
          <w:sz w:val="22"/>
          <w:szCs w:val="22"/>
        </w:rPr>
        <w:t xml:space="preserve">__________</w:t>
      </w:r>
      <w:r>
        <w:rPr>
          <w:rFonts w:ascii="Garamond" w:cs="Garamond" w:eastAsia="Garamond" w:hAnsi="Garamond"/>
          <w:b w:val="false"/>
          <w:bCs w:val="false"/>
          <w:i w:val="false"/>
          <w:iCs w:val="false"/>
          <w:caps w:val="false"/>
          <w:color w:val="1A1A1A"/>
          <w:sz w:val="22"/>
          <w:szCs w:val="22"/>
        </w:rPr>
        <w:t xml:space="preserve">) </w:t>
      </w:r>
      <w:r>
        <w:rPr>
          <w:rFonts w:ascii="Garamond" w:cs="Garamond" w:eastAsia="Garamond" w:hAnsi="Garamond"/>
          <w:b w:val="false"/>
          <w:bCs w:val="false"/>
          <w:i w:val="false"/>
          <w:iCs w:val="false"/>
          <w:caps w:val="false"/>
          <w:color w:val="1A1A1A"/>
          <w:sz w:val="22"/>
          <w:szCs w:val="22"/>
        </w:rPr>
        <w:t xml:space="preserve">that we will fill in together, and the </w:t>
      </w:r>
      <w:r>
        <w:rPr>
          <w:rFonts w:ascii="Garamond" w:cs="Garamond" w:eastAsia="Garamond" w:hAnsi="Garamond"/>
          <w:b/>
          <w:bCs/>
          <w:i w:val="false"/>
          <w:iCs w:val="false"/>
          <w:caps w:val="false"/>
          <w:color w:val="8A6A12"/>
          <w:sz w:val="22"/>
          <w:szCs w:val="22"/>
        </w:rPr>
        <w:t xml:space="preserve">⚑ Decision needed</w:t>
      </w:r>
      <w:r>
        <w:rPr>
          <w:rFonts w:ascii="Garamond" w:cs="Garamond" w:eastAsia="Garamond" w:hAnsi="Garamond"/>
          <w:b w:val="false"/>
          <w:bCs w:val="false"/>
          <w:i w:val="false"/>
          <w:iCs w:val="false"/>
          <w:caps w:val="false"/>
          <w:color w:val="1A1A1A"/>
          <w:sz w:val="22"/>
          <w:szCs w:val="22"/>
        </w:rPr>
        <w:t xml:space="preserve"> flags that mark a choice we will discuss. Jot down questions in the margins — nothing here is final until you say so.</w:t>
      </w:r>
    </w:p>
    <w:p>
      <w:pPr>
        <w:keepNext/>
        <w:pBdr>
          <w:bottom w:val="single" w:color="1A7A6D" w:sz="14" w:space="4"/>
        </w:pBdr>
        <w:spacing w:after="140" w:before="320"/>
      </w:pPr>
      <w:r>
        <w:rPr>
          <w:rFonts w:ascii="Garamond" w:cs="Garamond" w:eastAsia="Garamond" w:hAnsi="Garamond"/>
          <w:b/>
          <w:bCs/>
          <w:color w:val="1B3A6B"/>
          <w:sz w:val="30"/>
          <w:szCs w:val="30"/>
        </w:rPr>
        <w:t xml:space="preserve">What Your Plan Will Include</w:t>
      </w:r>
    </w:p>
    <w:p>
      <w:pPr>
        <w:spacing w:after="160" w:before="0" w:line="288"/>
      </w:pPr>
      <w:r>
        <w:rPr>
          <w:rFonts w:ascii="Garamond" w:cs="Garamond" w:eastAsia="Garamond" w:hAnsi="Garamond"/>
          <w:b w:val="false"/>
          <w:bCs w:val="false"/>
          <w:i w:val="false"/>
          <w:iCs w:val="false"/>
          <w:caps w:val="false"/>
          <w:color w:val="1A1A1A"/>
          <w:sz w:val="22"/>
          <w:szCs w:val="22"/>
        </w:rPr>
        <w:t xml:space="preserve">Most estate plans are built from a core set of documents that work together. Below is the menu; at your meeting we will confirm which belong in your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360"/>
        <w:gridCol w:w="160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Documents in Your Estate Plan</w:t>
            </w:r>
          </w:p>
        </w:tc>
      </w:tr>
      <w:tr>
        <w:trPr>
          <w:tblHeader/>
        </w:trPr>
        <w:tc>
          <w:tcPr>
            <w:tcW w:type="dxa" w:w="34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Document</w:t>
            </w:r>
          </w:p>
        </w:tc>
        <w:tc>
          <w:tcPr>
            <w:tcW w:type="dxa" w:w="436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What it does</w:t>
            </w:r>
          </w:p>
        </w:tc>
        <w:tc>
          <w:tcPr>
            <w:tcW w:type="dxa" w:w="16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Included</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Revocable Living Trust</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Controls who receives your assets and how</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planning.include_trust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Pour-Over Will</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Catches any asset not yet in your trust</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planning.include_pour_over_will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Last Will &amp; Testament</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Directs your estate and names a representative</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planning.include_simple_will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Durable Power of Attorney</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Lets someone handle finances if you cannot</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planning.include_dpoa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Health Care Proxy</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Names who makes medical decisions for you</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planning.include_hcp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Advance Health Directive</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States your end-of-life care wishes</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planning.include_ahd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HIPAA Authorization</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Lets loved ones access your medical info</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planning.include_hipaa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Personal Property Memorandum</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Directs specific personal items to people</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planning.include_ppm %}Yes{% else %}No{% endif %}</w:t>
            </w:r>
          </w:p>
        </w:tc>
      </w:tr>
      <w:tr>
        <w:tc>
          <w:tcPr>
            <w:tcW w:type="dxa" w:w="34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Guardian Appointment</w:t>
            </w:r>
          </w:p>
        </w:tc>
        <w:tc>
          <w:tcPr>
            <w:tcW w:type="dxa" w:w="4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Names who raises your minor children</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requires_guardian_clause %}Yes{% else %}No{% endif %}</w:t>
            </w:r>
          </w:p>
        </w:tc>
      </w:tr>
    </w:tbl>
    <w:p>
      <w:r>
        <w:br w:type="page"/>
      </w:r>
    </w:p>
    <w:p>
      <w:pPr>
        <w:keepNext/>
        <w:pBdr>
          <w:bottom w:val="single" w:color="1A7A6D" w:sz="14" w:space="4"/>
        </w:pBdr>
        <w:spacing w:after="140" w:before="320"/>
      </w:pPr>
      <w:r>
        <w:rPr>
          <w:rFonts w:ascii="Garamond" w:cs="Garamond" w:eastAsia="Garamond" w:hAnsi="Garamond"/>
          <w:b/>
          <w:bCs/>
          <w:color w:val="1B3A6B"/>
          <w:sz w:val="30"/>
          <w:szCs w:val="30"/>
        </w:rPr>
        <w:t xml:space="preserve">The People in Your Plan</w:t>
      </w:r>
    </w:p>
    <w:p>
      <w:pPr>
        <w:spacing w:after="160" w:before="0" w:line="288"/>
      </w:pPr>
      <w:r>
        <w:rPr>
          <w:rFonts w:ascii="Garamond" w:cs="Garamond" w:eastAsia="Garamond" w:hAnsi="Garamond"/>
          <w:b w:val="false"/>
          <w:bCs w:val="false"/>
          <w:i w:val="false"/>
          <w:iCs w:val="false"/>
          <w:caps w:val="false"/>
          <w:color w:val="1A1A1A"/>
          <w:sz w:val="22"/>
          <w:szCs w:val="22"/>
        </w:rPr>
        <w:t xml:space="preserve">Your estate plan revolves around the people you trust. Please confirm the details below are correct and complete.</w:t>
      </w:r>
    </w:p>
    <w:p>
      <w:pPr>
        <w:keepNext/>
        <w:spacing w:after="100" w:before="220"/>
      </w:pPr>
      <w:r>
        <w:rPr>
          <w:rFonts w:ascii="Garamond" w:cs="Garamond" w:eastAsia="Garamond" w:hAnsi="Garamond"/>
          <w:b/>
          <w:bCs/>
          <w:color w:val="0F6E56"/>
          <w:sz w:val="24"/>
          <w:szCs w:val="24"/>
        </w:rPr>
        <w:t xml:space="preserve">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Full legal name</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client.full_name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Also known as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client.aka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Date of birth</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client.date_of_birth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Home address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client.street_address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County</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client.county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Marital status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if has_spouse %}Married{% else %}Single{% endif %}</w:t>
            </w:r>
          </w:p>
        </w:tc>
      </w:tr>
    </w:tbl>
    <w:p>
      <w:pPr>
        <w:spacing w:after="80"/>
      </w:pPr>
    </w:p>
    <w:p>
      <w:r>
        <w:t xml:space="preserve">{% if has_spouse %}</w:t>
      </w:r>
    </w:p>
    <w:p>
      <w:pPr>
        <w:keepNext/>
        <w:spacing w:after="100" w:before="220"/>
      </w:pPr>
      <w:r>
        <w:rPr>
          <w:rFonts w:ascii="Garamond" w:cs="Garamond" w:eastAsia="Garamond" w:hAnsi="Garamond"/>
          <w:b/>
          <w:bCs/>
          <w:color w:val="0F6E56"/>
          <w:sz w:val="24"/>
          <w:szCs w:val="24"/>
        </w:rPr>
        <w:t xml:space="preserve">Your Spouse /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Full legal name</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spouse.full_name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Also known as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Date of birth</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spouse.date_of_birth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Date of marriage</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bl>
    <w:p>
      <w:r>
        <w:t xml:space="preserve">{% endif %}</w:t>
      </w:r>
    </w:p>
    <w:p>
      <w:pPr>
        <w:spacing w:after="80"/>
      </w:pPr>
    </w:p>
    <w:p>
      <w:pPr>
        <w:keepNext/>
        <w:spacing w:after="100" w:before="220"/>
      </w:pPr>
      <w:r>
        <w:rPr>
          <w:rFonts w:ascii="Garamond" w:cs="Garamond" w:eastAsia="Garamond" w:hAnsi="Garamond"/>
          <w:b/>
          <w:bCs/>
          <w:color w:val="0F6E56"/>
          <w:sz w:val="24"/>
          <w:szCs w:val="24"/>
        </w:rPr>
        <w:t xml:space="preserve">Your Children &amp; Dependents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360"/>
        <w:gridCol w:w="1600"/>
      </w:tblGrid>
      <w:tr>
        <w:trPr>
          <w:tblHeader/>
        </w:trPr>
        <w:tc>
          <w:tcPr>
            <w:tcW w:type="dxa" w:w="9360"/>
            <w:gridSpan w:val="4"/>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Children &amp; Dependents</w:t>
            </w:r>
          </w:p>
        </w:tc>
      </w:tr>
      <w:tr>
        <w:trPr>
          <w:tblHeader/>
        </w:trPr>
        <w:tc>
          <w:tcPr>
            <w:tcW w:type="dxa" w:w="3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Full name</w:t>
            </w:r>
          </w:p>
        </w:tc>
        <w:tc>
          <w:tcPr>
            <w:tcW w:type="dxa" w:w="2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Relationship</w:t>
            </w:r>
          </w:p>
        </w:tc>
        <w:tc>
          <w:tcPr>
            <w:tcW w:type="dxa" w:w="236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Date of birth</w:t>
            </w:r>
          </w:p>
        </w:tc>
        <w:tc>
          <w:tcPr>
            <w:tcW w:type="dxa" w:w="16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Minor?</w:t>
            </w:r>
          </w:p>
        </w:tc>
      </w:tr>
      <w:tr>
        <w:tc>
          <w:tcPr>
            <w:tcW w:type="dxa" w:w="3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children[0].full_name }}</w:t>
            </w:r>
          </w:p>
        </w:tc>
        <w:tc>
          <w:tcPr>
            <w:tcW w:type="dxa" w:w="2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children[0].relationship }}</w:t>
            </w:r>
          </w:p>
        </w:tc>
        <w:tc>
          <w:tcPr>
            <w:tcW w:type="dxa" w:w="2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children[0].date_of_birth }}</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children[0] %}{% if children[0].minor %}Yes{% else %}No{% endif %}{% endif %}</w:t>
            </w:r>
          </w:p>
        </w:tc>
      </w:tr>
      <w:tr>
        <w:tc>
          <w:tcPr>
            <w:tcW w:type="dxa" w:w="3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children[1].full_name }}</w:t>
            </w:r>
          </w:p>
        </w:tc>
        <w:tc>
          <w:tcPr>
            <w:tcW w:type="dxa" w:w="2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children[1].relationship }}</w:t>
            </w:r>
          </w:p>
        </w:tc>
        <w:tc>
          <w:tcPr>
            <w:tcW w:type="dxa" w:w="2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children[1].date_of_birth }}</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children[1] %}{% if children[1].minor %}Yes{% else %}No{% endif %}{% endif %}</w:t>
            </w:r>
          </w:p>
        </w:tc>
      </w:tr>
      <w:tr>
        <w:tc>
          <w:tcPr>
            <w:tcW w:type="dxa" w:w="3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children[2].full_name }}</w:t>
            </w:r>
          </w:p>
        </w:tc>
        <w:tc>
          <w:tcPr>
            <w:tcW w:type="dxa" w:w="2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children[2].relationship }}</w:t>
            </w:r>
          </w:p>
        </w:tc>
        <w:tc>
          <w:tcPr>
            <w:tcW w:type="dxa" w:w="23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children[2].date_of_birth }}</w:t>
            </w:r>
          </w:p>
        </w:tc>
        <w:tc>
          <w:tcPr>
            <w:tcW w:type="dxa" w:w="1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children[2] %}{% if children[2].minor %}Yes{% else %}No{% endif %}{% endif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C66B" w:sz="2"/>
              <w:left w:val="single" w:color="C99A2E" w:sz="24"/>
              <w:bottom w:val="single" w:color="E5C66B" w:sz="2"/>
              <w:right w:val="single" w:color="E5C66B" w:sz="2"/>
            </w:tcBorders>
            <w:shd w:fill="FBF3D9" w:val="clear"/>
            <w:tcMar>
              <w:top w:type="dxa" w:w="100"/>
              <w:left w:type="dxa" w:w="160"/>
              <w:bottom w:type="dxa" w:w="100"/>
              <w:right w:type="dxa" w:w="160"/>
            </w:tcMar>
          </w:tcPr>
          <w:p>
            <w:pPr>
              <w:spacing w:after="0" w:line="276"/>
            </w:pPr>
            <w:r>
              <w:rPr>
                <w:rFonts w:ascii="Garamond" w:cs="Garamond" w:eastAsia="Garamond" w:hAnsi="Garamond"/>
                <w:b/>
                <w:bCs/>
                <w:color w:val="8A6A12"/>
                <w:sz w:val="22"/>
                <w:szCs w:val="22"/>
              </w:rPr>
              <w:t xml:space="preserve">⚑  Decision needed:  </w:t>
            </w:r>
            <w:r>
              <w:rPr>
                <w:rFonts w:ascii="Garamond" w:cs="Garamond" w:eastAsia="Garamond" w:hAnsi="Garamond"/>
                <w:color w:val="1A1A1A"/>
                <w:sz w:val="22"/>
                <w:szCs w:val="22"/>
              </w:rPr>
              <w:t xml:space="preserve">If you have children from a prior relationship or wish to include anyone not listed, let us know so we can plan accordingly.</w:t>
            </w:r>
          </w:p>
        </w:tc>
      </w:tr>
    </w:tbl>
    <w:p>
      <w:r>
        <w:br w:type="page"/>
      </w:r>
    </w:p>
    <w:p>
      <w:r>
        <w:t xml:space="preserve">{% if planning.include_trust %}</w:t>
      </w:r>
    </w:p>
    <w:p>
      <w:pPr>
        <w:keepNext/>
        <w:pBdr>
          <w:bottom w:val="single" w:color="1A7A6D" w:sz="14" w:space="4"/>
        </w:pBdr>
        <w:spacing w:after="140" w:before="320"/>
      </w:pPr>
      <w:r>
        <w:rPr>
          <w:rFonts w:ascii="Garamond" w:cs="Garamond" w:eastAsia="Garamond" w:hAnsi="Garamond"/>
          <w:b/>
          <w:bCs/>
          <w:color w:val="1B3A6B"/>
          <w:sz w:val="30"/>
          <w:szCs w:val="30"/>
        </w:rPr>
        <w:t xml:space="preserve">Your Revocable Living Trust</w:t>
      </w:r>
    </w:p>
    <w:p>
      <w:pPr>
        <w:spacing w:after="160" w:before="0" w:line="288"/>
      </w:pPr>
      <w:r>
        <w:rPr>
          <w:rFonts w:ascii="Garamond" w:cs="Garamond" w:eastAsia="Garamond" w:hAnsi="Garamond"/>
          <w:b w:val="false"/>
          <w:bCs w:val="false"/>
          <w:i w:val="false"/>
          <w:iCs w:val="false"/>
          <w:caps w:val="false"/>
          <w:color w:val="1A1A1A"/>
          <w:sz w:val="22"/>
          <w:szCs w:val="22"/>
        </w:rPr>
        <w:t xml:space="preserve">Your trust is the centerpiece of your plan. It controls who receives your assets and how. While you are living, you serve as the creator (grantor), manager (trustee), and beneficiary — so day-to-day, nothing about how you use your assets changes. You can change or revoke the trust at any time, and move property in and out freely. The trust uses your Social Security number; there is no separate tax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Trust name</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trust.name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Trust date</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trust.display_date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Grantor(s)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client.full_name }}{% if has_spouse %} and {{ spouse.full_name }}{% endif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Initial trustee(s)</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fiduciaries.trustee.primary.full_name }}{% if fiduciaries.trustee.co_primary is defined and fiduciaries.trustee.co_primary.full_name %} and {{ fiduciaries.trustee.co_primary.full_name }}{% endif %}</w:t>
            </w:r>
          </w:p>
        </w:tc>
      </w:tr>
      <w:tr>
        <w:tc>
          <w:tcPr>
            <w:tcW w:type="dxa" w:w="30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Responsible for funding</w:t>
            </w:r>
          </w:p>
        </w:tc>
        <w:tc>
          <w:tcPr>
            <w:tcW w:type="dxa" w:w="63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bl>
    <w:p>
      <w:pPr>
        <w:spacing w:after="80"/>
      </w:pPr>
    </w:p>
    <w:p>
      <w:pPr>
        <w:keepNext/>
        <w:spacing w:after="100" w:before="220"/>
      </w:pPr>
      <w:r>
        <w:rPr>
          <w:rFonts w:ascii="Garamond" w:cs="Garamond" w:eastAsia="Garamond" w:hAnsi="Garamond"/>
          <w:b/>
          <w:bCs/>
          <w:color w:val="0F6E56"/>
          <w:sz w:val="24"/>
          <w:szCs w:val="24"/>
        </w:rPr>
        <w:t xml:space="preserve">Successor Trustees</w:t>
      </w:r>
    </w:p>
    <w:p>
      <w:pPr>
        <w:spacing w:after="160" w:before="0" w:line="288"/>
      </w:pPr>
      <w:r>
        <w:rPr>
          <w:rFonts w:ascii="Garamond" w:cs="Garamond" w:eastAsia="Garamond" w:hAnsi="Garamond"/>
          <w:b w:val="false"/>
          <w:bCs w:val="false"/>
          <w:i w:val="false"/>
          <w:iCs w:val="false"/>
          <w:caps w:val="false"/>
          <w:color w:val="1A1A1A"/>
          <w:sz w:val="22"/>
          <w:szCs w:val="22"/>
        </w:rPr>
        <w:t xml:space="preserve">A successor trustee steps in to manage the trust if you become incapacitated or after you pass away — paying debts, handling taxes, and distributing assets to your beneficiaries. They serve in the order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Successor Trustees (in order)</w:t>
            </w:r>
          </w:p>
        </w:tc>
      </w:tr>
      <w:tr>
        <w:trPr>
          <w:tblHeader/>
        </w:trPr>
        <w:tc>
          <w:tcPr>
            <w:tcW w:type="dxa" w:w="1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Order</w:t>
            </w:r>
          </w:p>
        </w:tc>
        <w:tc>
          <w:tcPr>
            <w:tcW w:type="dxa" w:w="456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Name</w:t>
            </w:r>
          </w:p>
        </w:tc>
        <w:tc>
          <w:tcPr>
            <w:tcW w:type="dxa" w:w="36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Relationship</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1</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fiduciaries.trustee.successor.full_name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2</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fiduciaries.trustee.second_successor.full_name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3</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__________________</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bl>
    <w:p>
      <w:pPr>
        <w:spacing w:after="80"/>
      </w:pPr>
    </w:p>
    <w:p>
      <w:pPr>
        <w:keepNext/>
        <w:spacing w:after="100" w:before="220"/>
      </w:pPr>
      <w:r>
        <w:rPr>
          <w:rFonts w:ascii="Garamond" w:cs="Garamond" w:eastAsia="Garamond" w:hAnsi="Garamond"/>
          <w:b/>
          <w:bCs/>
          <w:color w:val="0F6E56"/>
          <w:sz w:val="24"/>
          <w:szCs w:val="24"/>
        </w:rPr>
        <w:t xml:space="preserve">How Your Assets Are Distributed</w:t>
      </w:r>
    </w:p>
    <w:p>
      <w:pPr>
        <w:spacing w:after="160" w:before="0" w:line="288"/>
      </w:pPr>
      <w:r>
        <w:rPr>
          <w:rFonts w:ascii="Garamond" w:cs="Garamond" w:eastAsia="Garamond" w:hAnsi="Garamond"/>
          <w:b w:val="false"/>
          <w:bCs w:val="false"/>
          <w:i w:val="false"/>
          <w:iCs w:val="false"/>
          <w:caps w:val="false"/>
          <w:color w:val="1A1A1A"/>
          <w:sz w:val="22"/>
          <w:szCs w:val="22"/>
        </w:rPr>
        <w:t xml:space="preserve">The “residuary” is everything left in your trust after debts, taxes, and any specific gifts. It is usually divided by percentage among your beneficiaries. You can choose for beneficiaries to receive their shares outright, or in stages at certain ages with the balance held in trust for their benefit.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Primary beneficiaries</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Distribution method</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trust.descendants_distribution.method }}</w:t>
            </w:r>
          </w:p>
        </w:tc>
      </w:tr>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Staged ages (if any)</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if trust.descendants_distribution.method == 'staged' %}{{ trust.descendants_distribution.stage_1_age }}, {{ trust.descendants_distribution.stage_2_age }}, {{ trust.descendants_distribution.stage_3_age }}{% endif %}</w:t>
            </w:r>
          </w:p>
        </w:tc>
      </w:tr>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Contingent beneficiary</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trust.contingent_beneficiary.full_name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C66B" w:sz="2"/>
              <w:left w:val="single" w:color="C99A2E" w:sz="24"/>
              <w:bottom w:val="single" w:color="E5C66B" w:sz="2"/>
              <w:right w:val="single" w:color="E5C66B" w:sz="2"/>
            </w:tcBorders>
            <w:shd w:fill="FBF3D9" w:val="clear"/>
            <w:tcMar>
              <w:top w:type="dxa" w:w="100"/>
              <w:left w:type="dxa" w:w="160"/>
              <w:bottom w:type="dxa" w:w="100"/>
              <w:right w:type="dxa" w:w="160"/>
            </w:tcMar>
          </w:tcPr>
          <w:p>
            <w:pPr>
              <w:spacing w:after="0" w:line="276"/>
            </w:pPr>
            <w:r>
              <w:rPr>
                <w:rFonts w:ascii="Garamond" w:cs="Garamond" w:eastAsia="Garamond" w:hAnsi="Garamond"/>
                <w:b/>
                <w:bCs/>
                <w:color w:val="8A6A12"/>
                <w:sz w:val="22"/>
                <w:szCs w:val="22"/>
              </w:rPr>
              <w:t xml:space="preserve">⚑  Decision needed:  </w:t>
            </w:r>
            <w:r>
              <w:rPr>
                <w:rFonts w:ascii="Garamond" w:cs="Garamond" w:eastAsia="Garamond" w:hAnsi="Garamond"/>
                <w:color w:val="1A1A1A"/>
                <w:sz w:val="22"/>
                <w:szCs w:val="22"/>
              </w:rPr>
              <w:t xml:space="preserve">We will discuss whether to distribute outright or in stages, and at what ages, based on your goals for each beneficiary.</w:t>
            </w:r>
          </w:p>
        </w:tc>
      </w:tr>
    </w:tbl>
    <w:p>
      <w:pPr>
        <w:spacing w:after="80"/>
      </w:pPr>
    </w:p>
    <w:p>
      <w:pPr>
        <w:keepNext/>
        <w:spacing w:after="100" w:before="220"/>
      </w:pPr>
      <w:r>
        <w:rPr>
          <w:rFonts w:ascii="Garamond" w:cs="Garamond" w:eastAsia="Garamond" w:hAnsi="Garamond"/>
          <w:b/>
          <w:bCs/>
          <w:color w:val="0F6E56"/>
          <w:sz w:val="24"/>
          <w:szCs w:val="24"/>
        </w:rPr>
        <w:t xml:space="preserve">Specific Gifts</w:t>
      </w:r>
    </w:p>
    <w:p>
      <w:pPr>
        <w:spacing w:after="160" w:before="0" w:line="288"/>
      </w:pPr>
      <w:r>
        <w:rPr>
          <w:rFonts w:ascii="Garamond" w:cs="Garamond" w:eastAsia="Garamond" w:hAnsi="Garamond"/>
          <w:b w:val="false"/>
          <w:bCs w:val="false"/>
          <w:i w:val="false"/>
          <w:iCs w:val="false"/>
          <w:caps w:val="false"/>
          <w:color w:val="1A1A1A"/>
          <w:sz w:val="22"/>
          <w:szCs w:val="22"/>
        </w:rPr>
        <w:t xml:space="preserve">Specific gifts are particular dollar amounts or items given to named people before the residuary is divided — for example, a cash gift to a friend or a piece of real estate to a relative.</w:t>
      </w:r>
    </w:p>
    <w:p>
      <w:r>
        <w:t xml:space="preserve">{% if has_specific_gifts %}</w:t>
      </w:r>
    </w:p>
    <w:p>
      <w:r>
        <w:t xml:space="preserve">{% for gift in specific_gifts %}</w:t>
      </w:r>
    </w:p>
    <w:p>
      <w:r>
        <w:t xml:space="preserve">{{ gift.beneficiary_name }} — {{ gift.description }}{% if gift.notes %} ({{ gift.notes }}){% endif %}</w:t>
      </w:r>
    </w:p>
    <w:p>
      <w:r>
        <w:t xml:space="preserve">{% endfor %}</w:t>
      </w:r>
    </w:p>
    <w:p>
      <w:r>
        <w:t xml:space="preserve">{% else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C66B" w:sz="2"/>
              <w:left w:val="single" w:color="C99A2E" w:sz="24"/>
              <w:bottom w:val="single" w:color="E5C66B" w:sz="2"/>
              <w:right w:val="single" w:color="E5C66B" w:sz="2"/>
            </w:tcBorders>
            <w:shd w:fill="FBF3D9" w:val="clear"/>
            <w:tcMar>
              <w:top w:type="dxa" w:w="100"/>
              <w:left w:type="dxa" w:w="160"/>
              <w:bottom w:type="dxa" w:w="100"/>
              <w:right w:type="dxa" w:w="160"/>
            </w:tcMar>
          </w:tcPr>
          <w:p>
            <w:pPr>
              <w:spacing w:after="0" w:line="276"/>
            </w:pPr>
            <w:r>
              <w:rPr>
                <w:rFonts w:ascii="Garamond" w:cs="Garamond" w:eastAsia="Garamond" w:hAnsi="Garamond"/>
                <w:b/>
                <w:bCs/>
                <w:color w:val="8A6A12"/>
                <w:sz w:val="22"/>
                <w:szCs w:val="22"/>
              </w:rPr>
              <w:t xml:space="preserve">⚑  Decision needed:  </w:t>
            </w:r>
            <w:r>
              <w:rPr>
                <w:rFonts w:ascii="Garamond" w:cs="Garamond" w:eastAsia="Garamond" w:hAnsi="Garamond"/>
                <w:color w:val="1A1A1A"/>
                <w:sz w:val="22"/>
                <w:szCs w:val="22"/>
              </w:rPr>
              <w:t xml:space="preserve">No specific gifts are planned yet. If you would like to leave specific cash, property, or items to particular people or charities, note them here.</w:t>
            </w:r>
          </w:p>
        </w:tc>
      </w:tr>
    </w:tbl>
    <w:p>
      <w:r>
        <w:t xml:space="preserve">{% endif %}</w:t>
      </w:r>
    </w:p>
    <w:p>
      <w:r>
        <w:br w:type="page"/>
      </w:r>
    </w:p>
    <w:p>
      <w:pPr>
        <w:keepNext/>
        <w:pBdr>
          <w:bottom w:val="single" w:color="1A7A6D" w:sz="14" w:space="4"/>
        </w:pBdr>
        <w:spacing w:after="140" w:before="320"/>
      </w:pPr>
      <w:r>
        <w:rPr>
          <w:rFonts w:ascii="Garamond" w:cs="Garamond" w:eastAsia="Garamond" w:hAnsi="Garamond"/>
          <w:b/>
          <w:bCs/>
          <w:color w:val="1B3A6B"/>
          <w:sz w:val="30"/>
          <w:szCs w:val="30"/>
        </w:rPr>
        <w:t xml:space="preserve">Personal &amp; Sentimental Property</w:t>
      </w:r>
    </w:p>
    <w:p>
      <w:pPr>
        <w:spacing w:after="160" w:before="0" w:line="288"/>
      </w:pPr>
      <w:r>
        <w:rPr>
          <w:rFonts w:ascii="Garamond" w:cs="Garamond" w:eastAsia="Garamond" w:hAnsi="Garamond"/>
          <w:b w:val="false"/>
          <w:bCs w:val="false"/>
          <w:i w:val="false"/>
          <w:iCs w:val="false"/>
          <w:caps w:val="false"/>
          <w:color w:val="1A1A1A"/>
          <w:sz w:val="22"/>
          <w:szCs w:val="22"/>
        </w:rPr>
        <w:t xml:space="preserve">You can direct specific personal items — jewelry, furniture, heirlooms, vehicles — to specific people using a Personal Property Memorandum. This is a handwritten list you can update anytime without changing your trust. Anything not listed is distributed under the default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Default distribution</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trust.tangible_personal_property.distribution_method }}</w:t>
            </w:r>
          </w:p>
        </w:tc>
      </w:tr>
    </w:tbl>
    <w:p>
      <w:r>
        <w:t xml:space="preserve">{% endif %}</w:t>
      </w:r>
    </w:p>
    <w:p>
      <w:pPr>
        <w:keepNext/>
        <w:pBdr>
          <w:bottom w:val="single" w:color="1A7A6D" w:sz="14" w:space="4"/>
        </w:pBdr>
        <w:spacing w:after="140" w:before="320"/>
      </w:pPr>
      <w:r>
        <w:rPr>
          <w:rFonts w:ascii="Garamond" w:cs="Garamond" w:eastAsia="Garamond" w:hAnsi="Garamond"/>
          <w:b/>
          <w:bCs/>
          <w:color w:val="1B3A6B"/>
          <w:sz w:val="30"/>
          <w:szCs w:val="30"/>
        </w:rPr>
        <w:t xml:space="preserve">If You Cannot Act for Yourself</w:t>
      </w:r>
    </w:p>
    <w:p>
      <w:pPr>
        <w:spacing w:after="160" w:before="0" w:line="288"/>
      </w:pPr>
      <w:r>
        <w:rPr>
          <w:rFonts w:ascii="Garamond" w:cs="Garamond" w:eastAsia="Garamond" w:hAnsi="Garamond"/>
          <w:b w:val="false"/>
          <w:bCs w:val="false"/>
          <w:i w:val="false"/>
          <w:iCs w:val="false"/>
          <w:caps w:val="false"/>
          <w:color w:val="1A1A1A"/>
          <w:sz w:val="22"/>
          <w:szCs w:val="22"/>
        </w:rPr>
        <w:t xml:space="preserve">These documents take effect while you are living, if illness or injury prevents you from making decisions. They are separate from your trust and will, which apply after death.</w:t>
      </w:r>
    </w:p>
    <w:p>
      <w:r>
        <w:t xml:space="preserve">{% if planning.include_dpoa %}</w:t>
      </w:r>
    </w:p>
    <w:p>
      <w:pPr>
        <w:keepNext/>
        <w:spacing w:after="100" w:before="220"/>
      </w:pPr>
      <w:r>
        <w:rPr>
          <w:rFonts w:ascii="Garamond" w:cs="Garamond" w:eastAsia="Garamond" w:hAnsi="Garamond"/>
          <w:b/>
          <w:bCs/>
          <w:color w:val="0F6E56"/>
          <w:sz w:val="24"/>
          <w:szCs w:val="24"/>
        </w:rPr>
        <w:t xml:space="preserve">Durable Power of Attorney (Finances)</w:t>
      </w:r>
    </w:p>
    <w:p>
      <w:pPr>
        <w:spacing w:after="160" w:before="0" w:line="288"/>
      </w:pPr>
      <w:r>
        <w:rPr>
          <w:rFonts w:ascii="Garamond" w:cs="Garamond" w:eastAsia="Garamond" w:hAnsi="Garamond"/>
          <w:b w:val="false"/>
          <w:bCs w:val="false"/>
          <w:i w:val="false"/>
          <w:iCs w:val="false"/>
          <w:caps w:val="false"/>
          <w:color w:val="1A1A1A"/>
          <w:sz w:val="22"/>
          <w:szCs w:val="22"/>
        </w:rPr>
        <w:t xml:space="preserve">Authorizes a trusted person — your agent — to handle financial and legal matters: paying bills, managing investments, filing taxes, and dealing with government agencies.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Financial Agents (in order)</w:t>
            </w:r>
          </w:p>
        </w:tc>
      </w:tr>
      <w:tr>
        <w:trPr>
          <w:tblHeader/>
        </w:trPr>
        <w:tc>
          <w:tcPr>
            <w:tcW w:type="dxa" w:w="1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Order</w:t>
            </w:r>
          </w:p>
        </w:tc>
        <w:tc>
          <w:tcPr>
            <w:tcW w:type="dxa" w:w="408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Your agent</w:t>
            </w:r>
          </w:p>
        </w:tc>
        <w:tc>
          <w:tcPr>
            <w:tcW w:type="dxa" w:w="408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Spouse / partner's agent</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1</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fiduciaries.agent.primary.full_name }}</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has_spouse %}{{ fiduciaries.spouse_agent.primary.full_name }}{% endif %}</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2</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fiduciaries.agent.successor.full_name }}</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has_spouse %}{{ fiduciaries.spouse_agent.successor.full_name }}{% endif %}</w:t>
            </w:r>
          </w:p>
        </w:tc>
      </w:tr>
    </w:tbl>
    <w:p>
      <w:r>
        <w:t xml:space="preserve">{% endif %}</w:t>
      </w:r>
    </w:p>
    <w:p>
      <w:pPr>
        <w:spacing w:after="80"/>
      </w:pPr>
    </w:p>
    <w:p>
      <w:r>
        <w:t xml:space="preserve">{% if planning.include_hcp %}</w:t>
      </w:r>
    </w:p>
    <w:p>
      <w:pPr>
        <w:keepNext/>
        <w:spacing w:after="100" w:before="220"/>
      </w:pPr>
      <w:r>
        <w:rPr>
          <w:rFonts w:ascii="Garamond" w:cs="Garamond" w:eastAsia="Garamond" w:hAnsi="Garamond"/>
          <w:b/>
          <w:bCs/>
          <w:color w:val="0F6E56"/>
          <w:sz w:val="24"/>
          <w:szCs w:val="24"/>
        </w:rPr>
        <w:t xml:space="preserve">Health Care Proxy (Medical Decisions)</w:t>
      </w:r>
    </w:p>
    <w:p>
      <w:pPr>
        <w:spacing w:after="160" w:before="0" w:line="288"/>
      </w:pPr>
      <w:r>
        <w:rPr>
          <w:rFonts w:ascii="Garamond" w:cs="Garamond" w:eastAsia="Garamond" w:hAnsi="Garamond"/>
          <w:b w:val="false"/>
          <w:bCs w:val="false"/>
          <w:i w:val="false"/>
          <w:iCs w:val="false"/>
          <w:caps w:val="false"/>
          <w:color w:val="1A1A1A"/>
          <w:sz w:val="22"/>
          <w:szCs w:val="22"/>
        </w:rPr>
        <w:t xml:space="preserve">Names an agent to make medical decisions for you if you cannot communicate them yourself. Your agent can consent to or refuse treatment, choose facilities and providers, and access your medical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Health Care Agents (in order)</w:t>
            </w:r>
          </w:p>
        </w:tc>
      </w:tr>
      <w:tr>
        <w:trPr>
          <w:tblHeader/>
        </w:trPr>
        <w:tc>
          <w:tcPr>
            <w:tcW w:type="dxa" w:w="1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Order</w:t>
            </w:r>
          </w:p>
        </w:tc>
        <w:tc>
          <w:tcPr>
            <w:tcW w:type="dxa" w:w="408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Your agent</w:t>
            </w:r>
          </w:p>
        </w:tc>
        <w:tc>
          <w:tcPr>
            <w:tcW w:type="dxa" w:w="408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Spouse / partner's agent</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1</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healthcare.agent.primary.full_name }}</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has_spouse %}{{ healthcare.spouse_agent.primary.full_name }}{% endif %}</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2</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healthcare.agent.alternate.full_name }}</w:t>
            </w:r>
          </w:p>
        </w:tc>
        <w:tc>
          <w:tcPr>
            <w:tcW w:type="dxa" w:w="408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if has_spouse %}{{ healthcare.spouse_agent.alternate.full_name }}{% endif %}</w:t>
            </w:r>
          </w:p>
        </w:tc>
      </w:tr>
    </w:tbl>
    <w:p>
      <w:r>
        <w:t xml:space="preserve">{% endif %}</w:t>
      </w:r>
    </w:p>
    <w:p>
      <w:pPr>
        <w:spacing w:after="80"/>
      </w:pPr>
    </w:p>
    <w:p>
      <w:r>
        <w:t xml:space="preserve">{% if planning.include_ahd or planning.include_hipaa %}</w:t>
      </w:r>
    </w:p>
    <w:p>
      <w:pPr>
        <w:keepNext/>
        <w:spacing w:after="100" w:before="220"/>
      </w:pPr>
      <w:r>
        <w:rPr>
          <w:rFonts w:ascii="Garamond" w:cs="Garamond" w:eastAsia="Garamond" w:hAnsi="Garamond"/>
          <w:b/>
          <w:bCs/>
          <w:color w:val="0F6E56"/>
          <w:sz w:val="24"/>
          <w:szCs w:val="24"/>
        </w:rPr>
        <w:t xml:space="preserve">Advance Health Directive &amp; HIPAA</w:t>
      </w:r>
    </w:p>
    <w:p>
      <w:pPr>
        <w:spacing w:after="160" w:before="0" w:line="288"/>
      </w:pPr>
      <w:r>
        <w:rPr>
          <w:rFonts w:ascii="Garamond" w:cs="Garamond" w:eastAsia="Garamond" w:hAnsi="Garamond"/>
          <w:b w:val="false"/>
          <w:bCs w:val="false"/>
          <w:i w:val="false"/>
          <w:iCs w:val="false"/>
          <w:caps w:val="false"/>
          <w:color w:val="1A1A1A"/>
          <w:sz w:val="22"/>
          <w:szCs w:val="22"/>
        </w:rPr>
        <w:t xml:space="preserve">Your Advance Health Directive (Living Will) records your wishes about end-of-life care, giving your health care agent clear guidance. Your HIPAA Authorization lets the people you name speak with your providers and see your records — without giving them decision-making authority.</w:t>
      </w:r>
    </w:p>
    <w:p>
      <w:r>
        <w:t xml:space="preserve">{% endif %}</w:t>
      </w:r>
    </w:p>
    <w:p>
      <w:r>
        <w:br w:type="page"/>
      </w:r>
    </w:p>
    <w:p>
      <w:r>
        <w:t xml:space="preserve">{% if requires_guardian_clause %}</w:t>
      </w:r>
    </w:p>
    <w:p>
      <w:pPr>
        <w:keepNext/>
        <w:pBdr>
          <w:bottom w:val="single" w:color="1A7A6D" w:sz="14" w:space="4"/>
        </w:pBdr>
        <w:spacing w:after="140" w:before="320"/>
      </w:pPr>
      <w:r>
        <w:rPr>
          <w:rFonts w:ascii="Garamond" w:cs="Garamond" w:eastAsia="Garamond" w:hAnsi="Garamond"/>
          <w:b/>
          <w:bCs/>
          <w:color w:val="1B3A6B"/>
          <w:sz w:val="30"/>
          <w:szCs w:val="30"/>
        </w:rPr>
        <w:t xml:space="preserve">Guardians for Minor Children</w:t>
      </w:r>
    </w:p>
    <w:p>
      <w:pPr>
        <w:spacing w:after="160" w:before="0" w:line="288"/>
      </w:pPr>
      <w:r>
        <w:rPr>
          <w:rFonts w:ascii="Garamond" w:cs="Garamond" w:eastAsia="Garamond" w:hAnsi="Garamond"/>
          <w:b w:val="false"/>
          <w:bCs w:val="false"/>
          <w:i w:val="false"/>
          <w:iCs w:val="false"/>
          <w:caps w:val="false"/>
          <w:color w:val="1A1A1A"/>
          <w:sz w:val="22"/>
          <w:szCs w:val="22"/>
        </w:rPr>
        <w:t xml:space="preserve">If you cannot care for your minor children, the guardians you name will raise them. Choose people your children know and trust, and who share your values. Your plan can name guardians in two places: in your will (effective at death) and in a separate Parental Appointment (which also provides coverage during your lifetime).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Long-Term Guardians (in order)</w:t>
            </w:r>
          </w:p>
        </w:tc>
      </w:tr>
      <w:tr>
        <w:trPr>
          <w:tblHeader/>
        </w:trPr>
        <w:tc>
          <w:tcPr>
            <w:tcW w:type="dxa" w:w="1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Order</w:t>
            </w:r>
          </w:p>
        </w:tc>
        <w:tc>
          <w:tcPr>
            <w:tcW w:type="dxa" w:w="456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Name</w:t>
            </w:r>
          </w:p>
        </w:tc>
        <w:tc>
          <w:tcPr>
            <w:tcW w:type="dxa" w:w="36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Relationship</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1</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guardians.primary.full_name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2</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guardians.successor.full_name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3</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guardians.second_successor.full_name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bl>
    <w:p>
      <w:pPr>
        <w:spacing w:after="80"/>
      </w:pPr>
    </w:p>
    <w:p>
      <w:pPr>
        <w:keepNext/>
        <w:spacing w:after="100" w:before="220"/>
      </w:pPr>
      <w:r>
        <w:rPr>
          <w:rFonts w:ascii="Garamond" w:cs="Garamond" w:eastAsia="Garamond" w:hAnsi="Garamond"/>
          <w:b/>
          <w:bCs/>
          <w:color w:val="0F6E56"/>
          <w:sz w:val="24"/>
          <w:szCs w:val="24"/>
        </w:rPr>
        <w:t xml:space="preserve">Short-Term / Emergency Guardians</w:t>
      </w:r>
    </w:p>
    <w:p>
      <w:pPr>
        <w:spacing w:after="160" w:before="0" w:line="288"/>
      </w:pPr>
      <w:r>
        <w:rPr>
          <w:rFonts w:ascii="Garamond" w:cs="Garamond" w:eastAsia="Garamond" w:hAnsi="Garamond"/>
          <w:b w:val="false"/>
          <w:bCs w:val="false"/>
          <w:i w:val="false"/>
          <w:iCs w:val="false"/>
          <w:caps w:val="false"/>
          <w:color w:val="1A1A1A"/>
          <w:sz w:val="22"/>
          <w:szCs w:val="22"/>
        </w:rPr>
        <w:t xml:space="preserve">Short-term guardians step in during an emergency and care for your children until a long-term guardian can take 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rPr>
          <w:tblHeader/>
        </w:trPr>
        <w:tc>
          <w:tcPr>
            <w:tcW w:type="dxa" w:w="9360"/>
            <w:gridSpan w:val="3"/>
            <w:tcBorders>
              <w:top w:val="single" w:color="C9D3E0" w:sz="1"/>
              <w:left w:val="single" w:color="C9D3E0" w:sz="1"/>
              <w:bottom w:val="single" w:color="C9D3E0" w:sz="1"/>
              <w:right w:val="single" w:color="C9D3E0" w:sz="1"/>
            </w:tcBorders>
            <w:shd w:fill="1B3A6B" w:val="clear"/>
            <w:tcMar>
              <w:top w:type="dxa" w:w="70"/>
              <w:left w:type="dxa" w:w="130"/>
              <w:bottom w:type="dxa" w:w="70"/>
              <w:right w:type="dxa" w:w="130"/>
            </w:tcMar>
          </w:tcPr>
          <w:p>
            <w:pPr>
              <w:spacing w:after="0"/>
            </w:pPr>
            <w:r>
              <w:rPr>
                <w:rFonts w:ascii="Garamond" w:cs="Garamond" w:eastAsia="Garamond" w:hAnsi="Garamond"/>
                <w:b/>
                <w:bCs/>
                <w:color w:val="FFFFFF"/>
                <w:sz w:val="22"/>
                <w:szCs w:val="22"/>
              </w:rPr>
              <w:t xml:space="preserve">Short-Term Guardians (in order)</w:t>
            </w:r>
          </w:p>
        </w:tc>
      </w:tr>
      <w:tr>
        <w:trPr>
          <w:tblHeader/>
        </w:trPr>
        <w:tc>
          <w:tcPr>
            <w:tcW w:type="dxa" w:w="12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Order</w:t>
            </w:r>
          </w:p>
        </w:tc>
        <w:tc>
          <w:tcPr>
            <w:tcW w:type="dxa" w:w="456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Name</w:t>
            </w:r>
          </w:p>
        </w:tc>
        <w:tc>
          <w:tcPr>
            <w:tcW w:type="dxa" w:w="3600"/>
            <w:tcBorders>
              <w:top w:val="single" w:color="C9D3E0" w:sz="1"/>
              <w:left w:val="single" w:color="C9D3E0" w:sz="1"/>
              <w:bottom w:val="single" w:color="C9D3E0" w:sz="1"/>
              <w:right w:val="single" w:color="C9D3E0" w:sz="1"/>
            </w:tcBorders>
            <w:shd w:fill="E7ECF4" w:val="clear"/>
            <w:tcMar>
              <w:top w:type="dxa" w:w="60"/>
              <w:left w:type="dxa" w:w="130"/>
              <w:bottom w:type="dxa" w:w="60"/>
              <w:right w:type="dxa" w:w="130"/>
            </w:tcMar>
          </w:tcPr>
          <w:p>
            <w:pPr>
              <w:spacing w:after="0"/>
            </w:pPr>
            <w:r>
              <w:rPr>
                <w:rFonts w:ascii="Garamond" w:cs="Garamond" w:eastAsia="Garamond" w:hAnsi="Garamond"/>
                <w:b/>
                <w:bCs/>
                <w:color w:val="1B3A6B"/>
                <w:sz w:val="20"/>
                <w:szCs w:val="20"/>
              </w:rPr>
              <w:t xml:space="preserve">Relationship</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1</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guardians.short_term_primary.full_name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r>
        <w:tc>
          <w:tcPr>
            <w:tcW w:type="dxa" w:w="12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2</w:t>
            </w:r>
          </w:p>
        </w:tc>
        <w:tc>
          <w:tcPr>
            <w:tcW w:type="dxa" w:w="456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guardians.short_term_successor.full_name }}</w:t>
            </w:r>
          </w:p>
        </w:tc>
        <w:tc>
          <w:tcPr>
            <w:tcW w:type="dxa" w:w="3600"/>
            <w:tcBorders>
              <w:top w:val="single" w:color="C9D3E0" w:sz="1"/>
              <w:left w:val="single" w:color="C9D3E0" w:sz="1"/>
              <w:bottom w:val="single" w:color="C9D3E0" w:sz="1"/>
              <w:right w:val="single" w:color="C9D3E0" w:sz="1"/>
            </w:tcBorders>
            <w:tcMar>
              <w:top w:type="dxa" w:w="60"/>
              <w:left w:type="dxa" w:w="130"/>
              <w:bottom w:type="dxa" w:w="60"/>
              <w:right w:type="dxa" w:w="130"/>
            </w:tcMar>
            <w:vAlign w:val="center"/>
          </w:tcPr>
          <w:p>
            <w:pPr>
              <w:spacing w:after="0"/>
            </w:pPr>
            <w:r>
              <w:rPr>
                <w:rFonts w:ascii="Garamond" w:cs="Garamond" w:eastAsia="Garamond" w:hAnsi="Garamond"/>
                <w:color w:val="1A1A1A"/>
                <w:sz w:val="20"/>
                <w:szCs w:val="20"/>
              </w:rPr>
              <w:t xml:space="preserve">________________</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C66B" w:sz="2"/>
              <w:left w:val="single" w:color="C99A2E" w:sz="24"/>
              <w:bottom w:val="single" w:color="E5C66B" w:sz="2"/>
              <w:right w:val="single" w:color="E5C66B" w:sz="2"/>
            </w:tcBorders>
            <w:shd w:fill="FBF3D9" w:val="clear"/>
            <w:tcMar>
              <w:top w:type="dxa" w:w="100"/>
              <w:left w:type="dxa" w:w="160"/>
              <w:bottom w:type="dxa" w:w="100"/>
              <w:right w:type="dxa" w:w="160"/>
            </w:tcMar>
          </w:tcPr>
          <w:p>
            <w:pPr>
              <w:spacing w:after="0" w:line="276"/>
            </w:pPr>
            <w:r>
              <w:rPr>
                <w:rFonts w:ascii="Garamond" w:cs="Garamond" w:eastAsia="Garamond" w:hAnsi="Garamond"/>
                <w:b/>
                <w:bCs/>
                <w:color w:val="8A6A12"/>
                <w:sz w:val="22"/>
                <w:szCs w:val="22"/>
              </w:rPr>
              <w:t xml:space="preserve">⚑  Decision needed:  </w:t>
            </w:r>
            <w:r>
              <w:rPr>
                <w:rFonts w:ascii="Garamond" w:cs="Garamond" w:eastAsia="Garamond" w:hAnsi="Garamond"/>
                <w:color w:val="1A1A1A"/>
                <w:sz w:val="22"/>
                <w:szCs w:val="22"/>
              </w:rPr>
              <w:t xml:space="preserve">Naming guardians is one of the most important decisions for parents of minor children. Come prepared to discuss your first and backup choices.</w:t>
            </w:r>
          </w:p>
        </w:tc>
      </w:tr>
    </w:tbl>
    <w:p>
      <w:r>
        <w:t xml:space="preserve">{% endif %}</w:t>
      </w:r>
    </w:p>
    <w:p>
      <w:pPr>
        <w:keepNext/>
        <w:pBdr>
          <w:bottom w:val="single" w:color="1A7A6D" w:sz="14" w:space="4"/>
        </w:pBdr>
        <w:spacing w:after="140" w:before="320"/>
      </w:pPr>
      <w:r>
        <w:rPr>
          <w:rFonts w:ascii="Garamond" w:cs="Garamond" w:eastAsia="Garamond" w:hAnsi="Garamond"/>
          <w:b/>
          <w:bCs/>
          <w:color w:val="1B3A6B"/>
          <w:sz w:val="30"/>
          <w:szCs w:val="30"/>
        </w:rPr>
        <w:t xml:space="preserve">Massachusetts Estate Tax — A Preview</w:t>
      </w:r>
    </w:p>
    <w:p>
      <w:pPr>
        <w:spacing w:after="160" w:before="0" w:line="288"/>
      </w:pPr>
      <w:r>
        <w:rPr>
          <w:rFonts w:ascii="Garamond" w:cs="Garamond" w:eastAsia="Garamond" w:hAnsi="Garamond"/>
          <w:b w:val="false"/>
          <w:bCs w:val="false"/>
          <w:i w:val="false"/>
          <w:iCs w:val="false"/>
          <w:caps w:val="false"/>
          <w:color w:val="1A1A1A"/>
          <w:sz w:val="22"/>
          <w:szCs w:val="22"/>
        </w:rPr>
        <w:t xml:space="preserve">Massachusetts taxes estates above a threshold, separate from federal estate tax. For married couples, the right trust structure can help shelter assets and reduce or eliminate this tax. We will review your estimated estate value and the planning options at your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Estimated estate value</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r>
        <w:tc>
          <w:tcPr>
            <w:tcW w:type="dxa" w:w="3400"/>
            <w:tcBorders>
              <w:top w:val="single" w:color="C9D3E0" w:sz="1"/>
              <w:left w:val="single" w:color="C9D3E0" w:sz="1"/>
              <w:bottom w:val="single" w:color="C9D3E0" w:sz="1"/>
              <w:right w:val="single" w:color="C9D3E0" w:sz="1"/>
            </w:tcBorders>
            <w:shd w:fill="EAF2F0" w:val="clear"/>
            <w:tcMar>
              <w:top w:type="dxa" w:w="70"/>
              <w:left w:type="dxa" w:w="130"/>
              <w:bottom w:type="dxa" w:w="70"/>
              <w:right w:type="dxa" w:w="130"/>
            </w:tcMar>
            <w:vAlign w:val="center"/>
          </w:tcPr>
          <w:p>
            <w:pPr>
              <w:spacing w:after="0"/>
            </w:pPr>
            <w:r>
              <w:rPr>
                <w:rFonts w:ascii="Garamond" w:cs="Garamond" w:eastAsia="Garamond" w:hAnsi="Garamond"/>
                <w:b/>
                <w:bCs/>
                <w:color w:val="1B3A6B"/>
                <w:sz w:val="21"/>
                <w:szCs w:val="21"/>
              </w:rPr>
              <w:t xml:space="preserve">Planning approach</w:t>
            </w:r>
          </w:p>
        </w:tc>
        <w:tc>
          <w:tcPr>
            <w:tcW w:type="dxa" w:w="5960"/>
            <w:tcBorders>
              <w:top w:val="single" w:color="C9D3E0" w:sz="1"/>
              <w:left w:val="single" w:color="C9D3E0" w:sz="1"/>
              <w:bottom w:val="single" w:color="C9D3E0" w:sz="1"/>
              <w:right w:val="single" w:color="C9D3E0" w:sz="1"/>
            </w:tcBorders>
            <w:tcMar>
              <w:top w:type="dxa" w:w="70"/>
              <w:left w:type="dxa" w:w="130"/>
              <w:bottom w:type="dxa" w:w="70"/>
              <w:right w:type="dxa" w:w="130"/>
            </w:tcMar>
            <w:vAlign w:val="center"/>
          </w:tcPr>
          <w:p>
            <w:pPr>
              <w:spacing w:after="0"/>
            </w:pPr>
            <w:r>
              <w:rPr>
                <w:rFonts w:ascii="Garamond" w:cs="Garamond" w:eastAsia="Garamond" w:hAnsi="Garamond"/>
                <w:color w:val="1A1A1A"/>
                <w:sz w:val="21"/>
                <w:szCs w:val="21"/>
              </w:rPr>
              <w:t xml:space="preserve">______________________</w:t>
            </w:r>
          </w:p>
        </w:tc>
      </w:tr>
    </w:tbl>
    <w:p>
      <w:r>
        <w:t xml:space="preserve">{% if planning.include_trust %}</w:t>
      </w:r>
    </w:p>
    <w:p>
      <w:pPr>
        <w:keepNext/>
        <w:pBdr>
          <w:bottom w:val="single" w:color="1A7A6D" w:sz="14" w:space="4"/>
        </w:pBdr>
        <w:spacing w:after="140" w:before="320"/>
      </w:pPr>
      <w:r>
        <w:rPr>
          <w:rFonts w:ascii="Garamond" w:cs="Garamond" w:eastAsia="Garamond" w:hAnsi="Garamond"/>
          <w:b/>
          <w:bCs/>
          <w:color w:val="1B3A6B"/>
          <w:sz w:val="30"/>
          <w:szCs w:val="30"/>
        </w:rPr>
        <w:t xml:space="preserve">After Signing: Funding Your Trust</w:t>
      </w:r>
    </w:p>
    <w:p>
      <w:pPr>
        <w:spacing w:after="160" w:before="0" w:line="288"/>
      </w:pPr>
      <w:r>
        <w:rPr>
          <w:rFonts w:ascii="Garamond" w:cs="Garamond" w:eastAsia="Garamond" w:hAnsi="Garamond"/>
          <w:b w:val="false"/>
          <w:bCs w:val="false"/>
          <w:i w:val="false"/>
          <w:iCs w:val="false"/>
          <w:caps w:val="false"/>
          <w:color w:val="1A1A1A"/>
          <w:sz w:val="22"/>
          <w:szCs w:val="22"/>
        </w:rPr>
        <w:t xml:space="preserve">For your trust to work, your assets must be connected to it — this is called “funding.” We will provide detailed instructions, but here is a preview:</w:t>
      </w:r>
    </w:p>
    <w:p>
      <w:r>
        <w:t xml:space="preserve">{% if owns_real_property %}</w:t>
      </w:r>
    </w:p>
    <w:p>
      <w:pPr>
        <w:pStyle w:val="ListParagraph"/>
        <w:numPr>
          <w:ilvl w:val="0"/>
          <w:numId w:val="2"/>
        </w:numPr>
        <w:spacing w:after="80" w:line="276"/>
      </w:pPr>
      <w:r>
        <w:rPr>
          <w:rFonts w:ascii="Garamond" w:cs="Garamond" w:eastAsia="Garamond" w:hAnsi="Garamond"/>
          <w:b/>
          <w:bCs/>
          <w:color w:val="1B3A6B"/>
          <w:sz w:val="22"/>
          <w:szCs w:val="22"/>
        </w:rPr>
        <w:t xml:space="preserve">Real estate — </w:t>
      </w:r>
      <w:r>
        <w:rPr>
          <w:rFonts w:ascii="Garamond" w:cs="Garamond" w:eastAsia="Garamond" w:hAnsi="Garamond"/>
          <w:color w:val="1A1A1A"/>
          <w:sz w:val="22"/>
          <w:szCs w:val="22"/>
        </w:rPr>
        <w:t xml:space="preserve">We prepare deeds to transfer property into the trust.</w:t>
      </w:r>
    </w:p>
    <w:p>
      <w:r>
        <w:t xml:space="preserve">{% endif %}</w:t>
      </w:r>
    </w:p>
    <w:p>
      <w:pPr>
        <w:pStyle w:val="ListParagraph"/>
        <w:numPr>
          <w:ilvl w:val="0"/>
          <w:numId w:val="2"/>
        </w:numPr>
        <w:spacing w:after="80" w:line="276"/>
      </w:pPr>
      <w:r>
        <w:rPr>
          <w:rFonts w:ascii="Garamond" w:cs="Garamond" w:eastAsia="Garamond" w:hAnsi="Garamond"/>
          <w:b/>
          <w:bCs/>
          <w:color w:val="1B3A6B"/>
          <w:sz w:val="22"/>
          <w:szCs w:val="22"/>
        </w:rPr>
        <w:t xml:space="preserve">Bank &amp; investment accounts — </w:t>
      </w:r>
      <w:r>
        <w:rPr>
          <w:rFonts w:ascii="Garamond" w:cs="Garamond" w:eastAsia="Garamond" w:hAnsi="Garamond"/>
          <w:color w:val="1A1A1A"/>
          <w:sz w:val="22"/>
          <w:szCs w:val="22"/>
        </w:rPr>
        <w:t xml:space="preserve">Retitled in the trust's name or set to pay to the trust.</w:t>
      </w:r>
    </w:p>
    <w:p>
      <w:pPr>
        <w:pStyle w:val="ListParagraph"/>
        <w:numPr>
          <w:ilvl w:val="0"/>
          <w:numId w:val="2"/>
        </w:numPr>
        <w:spacing w:after="80" w:line="276"/>
      </w:pPr>
      <w:r>
        <w:rPr>
          <w:rFonts w:ascii="Garamond" w:cs="Garamond" w:eastAsia="Garamond" w:hAnsi="Garamond"/>
          <w:b/>
          <w:bCs/>
          <w:color w:val="1B3A6B"/>
          <w:sz w:val="22"/>
          <w:szCs w:val="22"/>
        </w:rPr>
        <w:t xml:space="preserve">Retirement accounts — </w:t>
      </w:r>
      <w:r>
        <w:rPr>
          <w:rFonts w:ascii="Garamond" w:cs="Garamond" w:eastAsia="Garamond" w:hAnsi="Garamond"/>
          <w:color w:val="1A1A1A"/>
          <w:sz w:val="22"/>
          <w:szCs w:val="22"/>
        </w:rPr>
        <w:t xml:space="preserve">We review IRA and 401(k) beneficiary designations for consistency.</w:t>
      </w:r>
    </w:p>
    <w:p>
      <w:pPr>
        <w:pStyle w:val="ListParagraph"/>
        <w:numPr>
          <w:ilvl w:val="0"/>
          <w:numId w:val="2"/>
        </w:numPr>
        <w:spacing w:after="80" w:line="276"/>
      </w:pPr>
      <w:r>
        <w:rPr>
          <w:rFonts w:ascii="Garamond" w:cs="Garamond" w:eastAsia="Garamond" w:hAnsi="Garamond"/>
          <w:b/>
          <w:bCs/>
          <w:color w:val="1B3A6B"/>
          <w:sz w:val="22"/>
          <w:szCs w:val="22"/>
        </w:rPr>
        <w:t xml:space="preserve">Life insurance — </w:t>
      </w:r>
      <w:r>
        <w:rPr>
          <w:rFonts w:ascii="Garamond" w:cs="Garamond" w:eastAsia="Garamond" w:hAnsi="Garamond"/>
          <w:color w:val="1A1A1A"/>
          <w:sz w:val="22"/>
          <w:szCs w:val="22"/>
        </w:rPr>
        <w:t xml:space="preserve">We review policy beneficiaries to align with your plan.</w:t>
      </w:r>
    </w:p>
    <w:p>
      <w:r>
        <w:t xml:space="preserve">{% endif %}</w:t>
      </w:r>
    </w:p>
    <w:p>
      <w:pPr>
        <w:keepNext/>
        <w:pBdr>
          <w:bottom w:val="single" w:color="1A7A6D" w:sz="14" w:space="4"/>
        </w:pBdr>
        <w:spacing w:after="140" w:before="320"/>
      </w:pPr>
      <w:r>
        <w:rPr>
          <w:rFonts w:ascii="Garamond" w:cs="Garamond" w:eastAsia="Garamond" w:hAnsi="Garamond"/>
          <w:b/>
          <w:bCs/>
          <w:color w:val="1B3A6B"/>
          <w:sz w:val="30"/>
          <w:szCs w:val="30"/>
        </w:rPr>
        <w:t xml:space="preserve">Your Questions &amp; Notes</w:t>
      </w:r>
    </w:p>
    <w:p>
      <w:pPr>
        <w:spacing w:after="160" w:before="0" w:line="288"/>
      </w:pPr>
      <w:r>
        <w:rPr>
          <w:rFonts w:ascii="Garamond" w:cs="Garamond" w:eastAsia="Garamond" w:hAnsi="Garamond"/>
          <w:b w:val="false"/>
          <w:bCs w:val="false"/>
          <w:i w:val="false"/>
          <w:iCs w:val="false"/>
          <w:caps w:val="false"/>
          <w:color w:val="1A1A1A"/>
          <w:sz w:val="22"/>
          <w:szCs w:val="22"/>
        </w:rPr>
        <w:t xml:space="preserve">Use this space to capture anything you want to discuss at your design meeting.</w:t>
      </w:r>
    </w:p>
    <w:p>
      <w:pPr>
        <w:pBdr>
          <w:bottom w:val="single" w:color="C9D3E0" w:sz="6" w:space="6"/>
        </w:pBdr>
        <w:spacing w:after="180" w:before="60"/>
      </w:pPr>
      <w:r>
        <w:rPr>
          <w:rFonts w:ascii="Garamond" w:cs="Garamond" w:eastAsia="Garamond" w:hAnsi="Garamond"/>
        </w:rPr>
        <w:t xml:space="preserve"/>
      </w:r>
    </w:p>
    <w:p>
      <w:pPr>
        <w:pBdr>
          <w:bottom w:val="single" w:color="C9D3E0" w:sz="6" w:space="6"/>
        </w:pBdr>
        <w:spacing w:after="180" w:before="60"/>
      </w:pPr>
      <w:r>
        <w:rPr>
          <w:rFonts w:ascii="Garamond" w:cs="Garamond" w:eastAsia="Garamond" w:hAnsi="Garamond"/>
        </w:rPr>
        <w:t xml:space="preserve"/>
      </w:r>
    </w:p>
    <w:p>
      <w:pPr>
        <w:pBdr>
          <w:bottom w:val="single" w:color="C9D3E0" w:sz="6" w:space="6"/>
        </w:pBdr>
        <w:spacing w:after="180" w:before="60"/>
      </w:pPr>
      <w:r>
        <w:rPr>
          <w:rFonts w:ascii="Garamond" w:cs="Garamond" w:eastAsia="Garamond" w:hAnsi="Garamond"/>
        </w:rPr>
        <w:t xml:space="preserve"/>
      </w:r>
    </w:p>
    <w:p>
      <w:pPr>
        <w:pBdr>
          <w:bottom w:val="single" w:color="C9D3E0" w:sz="6" w:space="6"/>
        </w:pBdr>
        <w:spacing w:after="180" w:before="60"/>
      </w:pPr>
      <w:r>
        <w:rPr>
          <w:rFonts w:ascii="Garamond" w:cs="Garamond" w:eastAsia="Garamond" w:hAnsi="Garamond"/>
        </w:rPr>
        <w:t xml:space="preserve"/>
      </w:r>
    </w:p>
    <w:p>
      <w:pPr>
        <w:pBdr>
          <w:bottom w:val="single" w:color="C9D3E0" w:sz="6" w:space="6"/>
        </w:pBdr>
        <w:spacing w:after="180" w:before="60"/>
      </w:pPr>
      <w:r>
        <w:rPr>
          <w:rFonts w:ascii="Garamond" w:cs="Garamond" w:eastAsia="Garamond" w:hAnsi="Garamond"/>
        </w:rPr>
        <w:t xml:space="preserve"/>
      </w:r>
    </w:p>
    <w:p>
      <w:pPr>
        <w:keepNext/>
        <w:pBdr>
          <w:bottom w:val="single" w:color="1A7A6D" w:sz="14" w:space="4"/>
        </w:pBdr>
        <w:spacing w:after="140" w:before="320"/>
      </w:pPr>
      <w:r>
        <w:rPr>
          <w:rFonts w:ascii="Garamond" w:cs="Garamond" w:eastAsia="Garamond" w:hAnsi="Garamond"/>
          <w:b/>
          <w:bCs/>
          <w:color w:val="1B3A6B"/>
          <w:sz w:val="30"/>
          <w:szCs w:val="30"/>
        </w:rPr>
        <w:t xml:space="preserve">What Happens Next</w:t>
      </w:r>
    </w:p>
    <w:p>
      <w:pPr>
        <w:spacing w:after="160" w:before="0" w:line="288"/>
      </w:pPr>
      <w:r>
        <w:rPr>
          <w:rFonts w:ascii="Garamond" w:cs="Garamond" w:eastAsia="Garamond" w:hAnsi="Garamond"/>
          <w:b w:val="false"/>
          <w:bCs w:val="false"/>
          <w:i w:val="false"/>
          <w:iCs w:val="false"/>
          <w:caps w:val="false"/>
          <w:color w:val="1A1A1A"/>
          <w:sz w:val="22"/>
          <w:szCs w:val="22"/>
        </w:rPr>
        <w:t xml:space="preserve">At your design meeting we will walk through this summary together, finalize the open items, and confirm your decisions. Once you approve, we prepare your legal documents for signing. This summary is a planning guide — it is not itself a legal document.</w:t>
      </w:r>
    </w:p>
    <w:sectPr>
      <w:headerReference w:type="default" r:id="rId7"/>
      <w:footerReference w:type="default" r:id="rId8"/>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0" w:sz="6" w:space="4"/>
      </w:pBdr>
      <w:spacing w:before="60"/>
      <w:jc w:val="center"/>
    </w:pPr>
    <w:r>
      <w:rPr>
        <w:rFonts w:ascii="Garamond" w:cs="Garamond" w:eastAsia="Garamond" w:hAnsi="Garamond"/>
        <w:color w:val="1B3A6B"/>
        <w:sz w:val="16"/>
        <w:szCs w:val="16"/>
      </w:rPr>
      <w:t xml:space="preserve">1329 Highland Ave, Suite 1, Needham, MA 02492   ·   (781) 474-3450   ·   aubreylegal.com</w:t>
    </w:r>
  </w:p>
  <w:p>
    <w:pPr>
      <w:spacing w:before="20"/>
      <w:jc w:val="center"/>
    </w:pPr>
    <w:r>
      <w:rPr>
        <w:rFonts w:ascii="Garamond" w:cs="Garamond" w:eastAsia="Garamond" w:hAnsi="Garamond"/>
        <w:color w:val="888888"/>
        <w:sz w:val="14"/>
        <w:szCs w:val="14"/>
      </w:rPr>
      <w:t xml:space="preserve">Page </w:t>
    </w:r>
    <w:r>
      <w:rPr>
        <w:rFonts w:ascii="Garamond" w:cs="Garamond" w:eastAsia="Garamond" w:hAnsi="Garamond"/>
        <w:color w:val="888888"/>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7A6D" w:sz="6" w:space="4"/>
      </w:pBdr>
      <w:tabs>
        <w:tab w:val="right" w:pos="9360"/>
      </w:tabs>
      <w:spacing w:after="0"/>
    </w:pPr>
    <w:r>
      <w:rPr>
        <w:rFonts w:ascii="Garamond" w:cs="Garamond" w:eastAsia="Garamond" w:hAnsi="Garamond"/>
        <w:b/>
        <w:bCs/>
        <w:color w:val="1B3A6B"/>
        <w:sz w:val="18"/>
        <w:szCs w:val="18"/>
      </w:rPr>
      <w:t xml:space="preserve">Aubrey Law LLC</w:t>
    </w:r>
    <w:r>
      <w:rPr>
        <w:rFonts w:ascii="Garamond" w:cs="Garamond" w:eastAsia="Garamond" w:hAnsi="Garamond"/>
        <w:color w:val="0F6E56"/>
        <w:sz w:val="18"/>
        <w:szCs w:val="18"/>
      </w:rPr>
      <w:t xml:space="preserve">	Estate Plan Design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A7A6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Plan Design Summary</dc:title>
  <dc:creator>Aubrey Law LLC</dc:creator>
  <cp:lastModifiedBy>Un-named</cp:lastModifiedBy>
  <cp:revision>1</cp:revision>
  <dcterms:created xsi:type="dcterms:W3CDTF">2026-06-22T23:33:17.472Z</dcterms:created>
  <dcterms:modified xsi:type="dcterms:W3CDTF">2026-06-22T23:33:17.472Z</dcterms:modified>
</cp:coreProperties>
</file>

<file path=docProps/custom.xml><?xml version="1.0" encoding="utf-8"?>
<Properties xmlns="http://schemas.openxmlformats.org/officeDocument/2006/custom-properties" xmlns:vt="http://schemas.openxmlformats.org/officeDocument/2006/docPropsVTypes"/>
</file>