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Temporal trends and epidemiological profile of cardiovascular disease mortality in Campo Grande, Mato Grosso do Sul, Brazil, 2013–2022</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João Vitor [Sobrenome]¹, Everton Falcão de Oliveira¹², Audêncio Victor [Sobrenome]¹³</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¹ Universidade Federal de Mato Grosso do Sul (UFMS), Faculdade de Medicina, Campo Grande, MS, Brazil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² PhD, Universidade Federal de Mato Grosso do Sul, Campo Grande, MS, Brazil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³ PhD, London School of Hygiene and Tropical Medicine (LSHTM), Department of International Health and Infectious Diseases, London, United Kingdom</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Corresponding author: Audêncio Victor [Sobrenome] — [email]</w:t>
      </w:r>
    </w:p>
    <w:p>
      <w:pPr/>
      <w:r>
        <w:br w:type="page"/>
      </w:r>
    </w:p>
    <w:p>
      <w:pPr>
        <w:pStyle w:val="Titre1"/>
      </w:pPr>
      <w:r>
        <w:t xml:space="preserve">ABSTRACT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BACKGROUND — </w:t>
      </w:r>
      <w:r>
        <w:rPr>
          <w:rFonts w:ascii="Times New Roman" w:hAnsi="Times New Roman" w:eastAsia="Times New Roman" w:cs="Times New Roman"/>
          <w:i w:val="false"/>
          <w:b w:val="false"/>
          <w:u w:val="none"/>
          <w:strike w:val="false"/>
          <w:sz w:val="20"/>
          <w:szCs w:val="20"/>
          <w:color w:val="000000"/>
        </w:rPr>
        <w:t xml:space="preserve">Cardiovascular diseases (CVD) remain the leading cause of death globally. In Brazil, regional disparities in CVD mortality persist, yet epidemiological data from the Central-West region remain scarce.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OBJECTIVES — </w:t>
      </w:r>
      <w:r>
        <w:rPr>
          <w:rFonts w:ascii="Times New Roman" w:hAnsi="Times New Roman" w:eastAsia="Times New Roman" w:cs="Times New Roman"/>
          <w:i w:val="false"/>
          <w:b w:val="false"/>
          <w:u w:val="none"/>
          <w:strike w:val="false"/>
          <w:sz w:val="20"/>
          <w:szCs w:val="20"/>
          <w:color w:val="000000"/>
        </w:rPr>
        <w:t xml:space="preserve">To describe the epidemiological profile and analyse temporal trends of cardiovascular mortality in Campo Grande, Mato Grosso do Sul, from 2013 to 2022.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METHODS — </w:t>
      </w:r>
      <w:r>
        <w:rPr>
          <w:rFonts w:ascii="Times New Roman" w:hAnsi="Times New Roman" w:eastAsia="Times New Roman" w:cs="Times New Roman"/>
          <w:i w:val="false"/>
          <w:b w:val="false"/>
          <w:u w:val="none"/>
          <w:strike w:val="false"/>
          <w:sz w:val="20"/>
          <w:szCs w:val="20"/>
          <w:color w:val="000000"/>
        </w:rPr>
        <w:t xml:space="preserve">An ecological, descriptive, retrospective study was conducted using Mortality Information System (SIM) data. Deaths were classified into five groups: ischaemic heart disease (IHD), heart failure (HF), arrhythmias (ARR), cardiomyopathies (CMP), and inflammatory heart diseases (INF). Crude and age-standardised (WHO) mortality rates were calculated. Temporal trends were assessed using Poisson regression, Prais-Winsten regression, and joinpoint analysis.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FINDINGS — </w:t>
      </w:r>
      <w:r>
        <w:rPr>
          <w:rFonts w:ascii="Times New Roman" w:hAnsi="Times New Roman" w:eastAsia="Times New Roman" w:cs="Times New Roman"/>
          <w:i w:val="false"/>
          <w:b w:val="false"/>
          <w:u w:val="none"/>
          <w:strike w:val="false"/>
          <w:sz w:val="20"/>
          <w:szCs w:val="20"/>
          <w:color w:val="000000"/>
        </w:rPr>
        <w:t xml:space="preserve">A total of 9,791 cardiac deaths were identified. IHD accounted for 77.4% of cases. The overall annual percentage change (APC) was +3.3% (95% CI: 2.5–4.0). Males had 59% higher mortality (IRR = 1.59; 95% CI: 1.47–1.72). A joinpoint at 2019 marked an acceleration in mortality, coinciding with the COVID-19 pandemic. IHD deaths occurred at home in 38.1% of cases, nearly equal to hospital deaths.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MAIN CONCLUSIONS — </w:t>
      </w:r>
      <w:r>
        <w:rPr>
          <w:rFonts w:ascii="Times New Roman" w:hAnsi="Times New Roman" w:eastAsia="Times New Roman" w:cs="Times New Roman"/>
          <w:i w:val="false"/>
          <w:b w:val="false"/>
          <w:u w:val="none"/>
          <w:strike w:val="false"/>
          <w:sz w:val="20"/>
          <w:szCs w:val="20"/>
          <w:color w:val="000000"/>
        </w:rPr>
        <w:t xml:space="preserve">Cardiovascular mortality in Campo Grande increased significantly over the study decade, driven primarily by ischaemic heart disease, with marked sex and age disparities and a notable acceleration during the COVID-19 pandemic period.</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Key words: cardiovascular diseases; mortality; time trends; ecological study; Brazil</w:t>
      </w:r>
    </w:p>
    <w:p>
      <w:pPr/>
      <w:r>
        <w:br w:type="page"/>
      </w:r>
    </w:p>
    <w:p>
      <w:pPr>
        <w:pStyle w:val="Titre1"/>
      </w:pPr>
      <w:r>
        <w:t xml:space="preserve">INTRODUCTION</w:t>
      </w:r>
    </w:p>
    <w:p>
      <w:pPr>
        <w:pStyle w:val="Normal"/>
      </w:pPr>
      <w:r>
        <w:t xml:space="preserve">Cardiovascular diseases (CVD) are the leading cause of death globally, responsible for an estimated 19.1 million deaths in 2020, accounting for approximately 32% of all deaths worldwide (Roth et al. 2020). In low- and middle-income countries, the burden is disproportionately high, and Latin America faces a growing epidemic driven by the epidemiological transition (Lopez-Jaramillo et al. 2014, Rubinstein et al. 2025).</w:t>
      </w:r>
    </w:p>
    <w:p>
      <w:pPr>
        <w:pStyle w:val="Normal"/>
      </w:pPr>
      <w:r>
        <w:t xml:space="preserve">In Brazil, CVD has consistently ranked as the primary cause of mortality for decades, with approximately 400,000 deaths per year attributed to diseases of the circulatory system (Oliveira et al. 2022). National studies have documented declining trends in age-standardised CVD mortality between 1990 and 2017, attributed to improvements in risk factor control, expanded primary healthcare, and advances in emergency care (Souza et al. 2016, Lotufo et al. 2021). However, this overall decline masks important regional heterogeneities: the Central-West and North regions have shown persistently higher or stagnating rates compared with the South and Southeast (Mansur &amp; Favarato 2016, Brant et al. 2025).</w:t>
      </w:r>
    </w:p>
    <w:p>
      <w:pPr>
        <w:pStyle w:val="Normal"/>
      </w:pPr>
      <w:r>
        <w:t xml:space="preserve">Within the CVD spectrum, ischaemic heart disease (IHD) — particularly acute myocardial infarction (AMI) — constitutes the single largest contributor to cardiovascular mortality in Brazil (Santo et al. 2024, Silva et al. 2024). Heart failure (HF) mortality, by contrast, has shown a declining national trend attributed to therapeutic advances in pharmacological management (Gaui et al. 2021, Stevens et al. 2022). Cardiac arrhythmias, cardiomyopathies, and inflammatory heart diseases, though less prevalent as underlying causes, contribute meaningfully to the overall burden and have been less thoroughly studied at the subnational level (Oliveira et al. 2024).</w:t>
      </w:r>
    </w:p>
    <w:p>
      <w:pPr>
        <w:pStyle w:val="Normal"/>
      </w:pPr>
      <w:r>
        <w:t xml:space="preserve">Sociodemographic disparities in CVD mortality are well-documented in Brazil. Males exhibit consistently higher mortality rates from IHD (Mansur &amp; Favarato 2011, Santos et al. 2022), while lower educational attainment and lower socioeconomic status are associated with premature cardiovascular death (Brant et al. 2021, Cardoso et al. 2021, Duncan et al. 2016). The place of death — whether in-hospital, at home, or in public spaces — serves as an indirect marker of access to emergency cardiovascular care, with a high proportion of out-of-hospital AMI deaths suggesting delays in seeking or accessing treatment (Brant et al. 2020a).</w:t>
      </w:r>
    </w:p>
    <w:p>
      <w:pPr>
        <w:pStyle w:val="Normal"/>
      </w:pPr>
      <w:r>
        <w:t xml:space="preserve">The COVID-19 pandemic profoundly affected cardiovascular mortality patterns in Brazil. Studies have documented excess cardiovascular deaths during 2020–2021, attributed to reduced hospital admissions, delayed presentations, and direct cardiovascular effects of SARS-CoV-2 infection (Brant et al. 2020b, Normando et al. 2021, Alencar et al. 2022, Almeida et al. 2025).</w:t>
      </w:r>
    </w:p>
    <w:p>
      <w:pPr>
        <w:pStyle w:val="Normal"/>
      </w:pPr>
      <w:r>
        <w:t xml:space="preserve">Campo Grande, the capital of Mato Grosso do Sul state, had an estimated population of 898,100 inhabitants in 2022 and is the largest city in the Central-West border region. Despite its demographic and epidemiological significance, no comprehensive analysis of cardiovascular mortality trends has been conducted for this municipality. The objective of this study was to characterise the epidemiological profile and analyse the temporal trends of mortality from cardiovascular diseases in Campo Grande from 2013 to 2022, stratified by disease group, sex, age, and sociodemographic variables.</w:t>
      </w:r>
    </w:p>
    <w:p>
      <w:pPr>
        <w:pStyle w:val="Titre1"/>
      </w:pPr>
      <w:r>
        <w:t xml:space="preserve">MATERIALS AND METHODS</w:t>
      </w:r>
    </w:p>
    <w:p>
      <w:pPr>
        <w:pStyle w:val="Normal"/>
      </w:pPr>
      <w:r>
        <w:t xml:space="preserve">Study design and setting — This was an ecological, descriptive, retrospective study encompassing the municipality of Campo Grande, capital of Mato Grosso do Sul state, Central-West Brazil. The study was reported in accordance with the Strengthening the Reporting of Observational Studies in Epidemiology (STROBE) guidelines for observational research (von Elm et al. 2007). Campo Grande covers an area of 8,118.4 km², is divided into 74 administrative neighbourhoods, and had an estimated population of 898,100 inhabitants in 2022 according to the Brazilian Census. The study population comprised all residents of Campo Grande whose deaths were registered in the national vital statistics system between 1 January 2013 and 31 December 2022. This ten-year period was selected because 2013 marked the beginning of stable, high-quality data availability in the SIM for this municipality, and 2022 was the most recent complete year at the time the study was initiated.</w:t>
      </w:r>
    </w:p>
    <w:p>
      <w:pPr>
        <w:pStyle w:val="Normal"/>
      </w:pPr>
      <w:r>
        <w:t xml:space="preserve">Data sources — Mortality data were extracted from the Mortality Information System (SIM) of the Brazilian Ministry of Health, a nationwide vital registration system that processes all death certificates in Brazil. The SIM has achieved coverage exceeding 95% and acceptable data quality for epidemiological analysis in Brazilian state capitals (Almeida et al. 2025). Each record in the SIM contains demographic, clinical, and geographic information derived from the standardised death certificate (Declaração de Óbito). Population denominators were obtained from the Brazilian Institute of Geography and Statistics (IBGE): intercensal estimates based on geometric growth projections for 2013–2021, and the 2022 Population Census for the final study year. Sex-stratified population estimates were used for sex-specific rate calculations.</w:t>
      </w:r>
    </w:p>
    <w:p>
      <w:pPr>
        <w:pStyle w:val="Normal"/>
      </w:pPr>
      <w:r>
        <w:t xml:space="preserve">Case selection and disease classification — All deaths among Campo Grande residents with an underlying cause of death coded within the cardiac disease chapters of the International Classification of Diseases, 10th Revision (ICD-10) were eligible for inclusion. Deaths were classified into five mutually exclusive pathophysiological groups based on their three-character ICD-10 code: (i) ischaemic heart disease (IHD), encompassing codes I20–I25, which includes acute myocardial infarction (I21), other acute ischaemic events (I24), and chronic ischaemic heart disease (I25); (ii) heart failure and other cardiac conditions (HF), encompassing codes I50–I52; (iii) cardiac arrhythmias and conduction disorders (ARR), encompassing codes I44–I49, including atrial fibrillation (I48) and ventricular arrhythmias (I49); (iv) cardiomyopathies (CMP), encompassing codes I42–I43; and (v) inflammatory heart diseases (INF), encompassing codes I30–I41, which includes endocarditis, myocarditis, and pericarditis. Valvular heart disease (I05–I09, I34–I37) was initially considered as a sixth group but excluded because no cases were identified as the underlying cause of death during the study period. One death record with indeterminate sex was excluded, yielding a final analytical sample of 9,791 deaths.</w:t>
      </w:r>
    </w:p>
    <w:p>
      <w:pPr>
        <w:pStyle w:val="Normal"/>
      </w:pPr>
      <w:r>
        <w:t xml:space="preserve">Variables — The following variables were extracted from each death record: year of death; sex (male, female); age at death (in completed years); self-reported race/ethnicity as recorded on the death certificate (White, Mixed/Pardo, Black, Asian, Indigenous); marital status (married, single, widowed, divorced/separated, common-law); educational attainment (illiterate, primary education, secondary education, higher education); place of death (hospital, home, other healthcare facility, public road, other); and the underlying cause of death coded using ICD-10. Age was categorised into four epidemiological groups for descriptive analysis: 0–19 years (children and adolescents), 20–39 years (young adults), 40–59 years (adults), and ≥60 years (elderly). For age-standardisation purposes, nine finer age strata were used: 0–4, 5–14, 15–24, 25–34, 35–44, 45–54, 55–64, 65–74, and ≥75 years.</w:t>
      </w:r>
    </w:p>
    <w:p>
      <w:pPr>
        <w:pStyle w:val="Normal"/>
      </w:pPr>
      <w:r>
        <w:t xml:space="preserve">Descriptive statistical analysis — The epidemiological profile of the study population was characterised using standard descriptive statistics. Categorical variables (sex, race/ethnicity, education, marital status, place of death, age group) were expressed as absolute frequencies and proportions (%). Continuous variables (age at death) were described using the median and interquartile range (IQR, 25th–75th percentiles) given the non-normal distribution observed. Pearson’s chi-squared test (χ²) was used to compare categorical variable distributions across the five disease groups. The Kruskal-Wallis rank-sum test was employed to compare the age distribution across groups, as a non-parametric alternative appropriate for comparing medians across multiple independent groups (Kirkwood &amp; Sterne 2003). Data completeness was assessed for each variable by calculating the proportion of missing values.</w:t>
      </w:r>
    </w:p>
    <w:p>
      <w:pPr>
        <w:pStyle w:val="Normal"/>
      </w:pPr>
      <w:r>
        <w:t xml:space="preserve">Mortality rate calculation — Crude mortality rates were calculated for each year, disease group, and sex by dividing the number of deaths by the corresponding mid-year population estimate, expressed per 100,000 inhabitants. Age-standardised mortality rates (ASMR) were computed using the direct standardisation method, which applies age-specific mortality rates observed in Campo Grande to a standard reference population to remove the confounding effect of age structure differences across time (Ahmad et al. 2001). The WHO World Standard Population (Segi–Doll modified weights) was used as the reference, with the following weights per 100,000: 0–4 years (8,860), 5–14 (17,020), 15–24 (17,020), 25–34 (13,580), 35–44 (13,580), 45–54 (12,800), 55–64 (10,440), 65–74 (7,160), and ≥75 (3,540). Age-specific population denominators were estimated by applying the age-group proportions from the 2010 Census of Campo Grande to the annual total population estimates.</w:t>
      </w:r>
    </w:p>
    <w:p>
      <w:pPr>
        <w:pStyle w:val="Normal"/>
      </w:pPr>
      <w:r>
        <w:t xml:space="preserve">Temporal trend analysis — Three complementary statistical approaches were employed to assess temporal trends in cardiovascular mortality, each addressing different analytical assumptions:</w:t>
      </w:r>
    </w:p>
    <w:p>
      <w:pPr>
        <w:pStyle w:val="Normal"/>
      </w:pPr>
      <w:r>
        <w:t xml:space="preserve">(i) Poisson regression: Mortality counts for each year were modelled using generalised linear models (GLM) with a Poisson distribution and logarithmic link function (Hilbe 2011). The natural logarithm of the mid-year population was included as an offset term, effectively modelling the mortality rate. The centred year (year minus 2013) was included as the sole predictor, and the annual percentage change (APC) was calculated as APC = [exp(β) − 1] × 100, where β is the regression coefficient for the year variable. Ninety-five percent confidence intervals for the APC were derived from the profile likelihood confidence intervals of β. Overdispersion was assessed by computing the ratio of the residual deviance to the residual degrees of freedom; when this ratio exceeded 1.5, indicating that the variance exceeded the mean (a violation of the Poisson equidispersion assumption), negative binomial regression was fitted as a sensitivity analysis (Hilbe 2011).</w:t>
      </w:r>
    </w:p>
    <w:p>
      <w:pPr>
        <w:pStyle w:val="Normal"/>
      </w:pPr>
      <w:r>
        <w:t xml:space="preserve">(ii) Prais-Winsten generalised least squares regression: Because time-series data of mortality rates may exhibit serial autocorrelation (i.e., the mortality rate in a given year is correlated with the rate in the preceding year), the Prais-Winsten method was employed to obtain autocorrelation-corrected regression estimates (Antunes &amp; Cardoso 2015). This method first estimates the first-order autocorrelation coefficient (ρ) from the residuals of an ordinary least squares (OLS) regression of the mortality rate on the centred year, then transforms both the dependent and independent variables using the Cochrane-Orcutt procedure (y* = y_t − ρy_{t-1}) and re-estimates the model. The resulting slope coefficient represents the average annual change in the mortality rate (per 100,000) after removing serial autocorrelation. Trends were classified as increasing (positive slope, p &lt; 0.05), decreasing (negative slope, p &lt; 0.05), or stationary (p ≥ 0.05).</w:t>
      </w:r>
    </w:p>
    <w:p>
      <w:pPr>
        <w:pStyle w:val="Normal"/>
      </w:pPr>
      <w:r>
        <w:t xml:space="preserve">(iii) Joinpoint regression: To identify inflection points (breakpoints) where the temporal trend changed significantly in slope, segmented linear regression was applied to the overall crude mortality rate series using the method of Muggeo (2003). This approach iteratively estimates the location of one or more breakpoints in a piecewise linear regression, partitioning the time series into segments with distinct slopes. The number of joinpoints was determined using the Bayesian Information Criterion. For each segment, the slope and its statistical significance were reported. This method has been widely used in cancer and cardiovascular epidemiology to detect changes in mortality trends (Kim et al. 2000).</w:t>
      </w:r>
    </w:p>
    <w:p>
      <w:pPr>
        <w:pStyle w:val="Normal"/>
      </w:pPr>
      <w:r>
        <w:t xml:space="preserve">Sex-specific analysis — Sex-specific crude mortality rates were calculated using sex-stratified population denominators. To quantify the magnitude of sex differences, the incidence rate ratio (IRR) comparing male to female mortality was estimated from a Poisson regression model including centred year, sex (female as reference), and a year-by-sex interaction term, with the log of the sex-specific population as the offset. A significant interaction term (p &lt; 0.05) would indicate that temporal trends differed between males and females. The male-to-female mortality ratio was also calculated for each disease group.</w:t>
      </w:r>
    </w:p>
    <w:p>
      <w:pPr>
        <w:pStyle w:val="Normal"/>
      </w:pPr>
      <w:r>
        <w:t xml:space="preserve">COVID-19 pandemic impact — To assess the potential impact of the COVID-19 pandemic on cardiovascular mortality, mean crude mortality rates for the pre-pandemic period (2018–2019) were compared with those of the pandemic years (2020–2021). The percentage change was calculated as [(rate_pandemic − rate_pre) / rate_pre] × 100. Additionally, the joinpoint analysis provided independent evidence of whether a change in trend coincided temporally with the pandemic onset.</w:t>
      </w:r>
    </w:p>
    <w:p>
      <w:pPr>
        <w:pStyle w:val="Normal"/>
      </w:pPr>
      <w:r>
        <w:t xml:space="preserve">Software — All statistical analyses were performed in R version 4.5.1 (R Core Team 2025). The following packages were used: tidyverse (data manipulation and visualisation), gtsummary (descriptive tables), MASS (negative binomial regression), segmented (joinpoint analysis), officer and flextable (manuscript generation), and patchwork (figure composition). Statistical significance was defined as a two-sided p-value &lt; 0.05 for all tests. Figures were produced at 600 dots per inch (dpi) resolution for publication quality.</w:t>
      </w:r>
    </w:p>
    <w:p>
      <w:pPr>
        <w:pStyle w:val="Normal"/>
      </w:pPr>
      <w:r>
        <w:t xml:space="preserve">Ethical considerations — This study was approved by the Research Ethics Committee of the Universidade Federal de Mato Grosso do Sul (CAAE: 74807523.7.0000.0021). As the study exclusively used anonymised, publicly available secondary data from the national mortality database, individual informed consent was waived in accordance with Brazilian National Health Council Resolution 510/2016.</w:t>
      </w:r>
    </w:p>
    <w:p>
      <w:pPr>
        <w:pStyle w:val="Titre1"/>
      </w:pPr>
      <w:r>
        <w:t xml:space="preserve">RESULTS</w:t>
      </w:r>
    </w:p>
    <w:p>
      <w:pPr>
        <w:pStyle w:val="Normal"/>
      </w:pPr>
      <w:r>
        <w:t xml:space="preserve">Overview — During 2013–2022, 76,688 deaths were registered in Campo Grande. Of these, 9,791 (12.8%) had a cardiac disease as the underlying cause. IHD accounted for 7,579 deaths (77.4%), followed by HF (746; 7.6%), ARR (673; 6.9%), CMP (514; 5.3%), and INF (279; 2.9%). Within IHD, acute myocardial infarction (I21) was responsible for 6,468 deaths (85.3% of IHD).</w:t>
      </w:r>
    </w:p>
    <w:p>
      <w:pPr>
        <w:pStyle w:val="Normal"/>
      </w:pPr>
      <w:r>
        <w:t xml:space="preserve">The median age at death was 70 years (IQR: 60–80). Age varied significantly across groups (Kruskal-Wallis p &lt; 0.001): ARR had the highest median (78 years), followed by HF (74), CMP (70), IHD (69), and INF (63 years). Males accounted for 59.3% of deaths (n = 5,805), with predominance in IHD (61.0%), INF (61.6%), and CMP (59.7%), while ARR was the only group with female predominance (52.2%) (χ² = 65.6, p &lt; 0.001). White individuals comprised 52.9% of deaths, followed by Mixed (41.6%). Primary education was the most frequent level (48.8%). The complete epidemiological characterisation is presented in Table I.</w:t>
      </w:r>
    </w:p>
    <w:p>
      <w:pPr>
        <w:pStyle w:val="Normal"/>
      </w:pPr>
      <w:r>
        <w:t xml:space="preserve">Place of death — Overall, 48.4% of deaths occurred in hospitals and 32.9% at home. A distinctive pattern emerged for IHD: home deaths (38.1%) were nearly equal to hospital deaths (40.0%), contrasting sharply with other groups where hospital deaths predominated (65–93%) (Supplementary Fig. S1).</w:t>
      </w:r>
    </w:p>
    <w:p>
      <w:pPr>
        <w:pStyle w:val="Normal"/>
      </w:pPr>
      <w:r>
        <w:t xml:space="preserve">Temporal trends — The overall crude mortality rate increased from 99.3 per 100,000 in 2013 to 133.6 per 100,000 in 2022, a 34.5% increase. Poisson regression yielded an overall APC of +3.3% per year (95% CI: 2.5–4.0; p &lt; 0.001). Negative binomial regression confirmed this finding (APC +3.2%). Group-specific trends showed marked heterogeneity (Table III, Fig. 1B): IHD increased at +4.3% per year (95% CI: 3.5–5.1), ARR at +9.5% (95% CI: 6.6–12.6), and INF at +8.4% (95% CI: 4.0–13.1), while HF declined at −8.7% (95% CI: −11.0 to −6.4) and CMP at −3.8% (95% CI: −6.7 to −0.8; all p &lt; 0.05).</w:t>
      </w:r>
    </w:p>
    <w:p>
      <w:pPr>
        <w:pStyle w:val="Normal"/>
      </w:pPr>
      <w:r>
        <w:t xml:space="preserve">Prais-Winsten regression, correcting for autocorrelation (ρ = 0.243), confirmed increasing trends for IHD (β = 3.91; p = 0.001), ARR (β = 0.71; p &lt; 0.001), and INF (β = 0.31; p = 0.001), while HF and CMP were reclassified as stationary after correction (Table III).</w:t>
      </w:r>
    </w:p>
    <w:p>
      <w:pPr>
        <w:pStyle w:val="Normal"/>
      </w:pPr>
      <w:r>
        <w:t xml:space="preserve">Joinpoint analysis identified a single breakpoint at 2019 (Fig. 1A). Before this point, the trend was non-significant (slope: +1.3/100,000 per year); after it, a significant acceleration was observed (slope: +9.0/100,000 per year; p &lt; 0.01), coinciding with the COVID-19 pandemic.</w:t>
      </w:r>
    </w:p>
    <w:p>
      <w:pPr>
        <w:pStyle w:val="Normal"/>
      </w:pPr>
      <w:r>
        <w:t xml:space="preserve">Sex-specific analysis — Males consistently exhibited higher rates (Fig. 2B). The overall IRR was 1.59 (95% CI: 1.47–1.72), indicating 59% higher mortality in men. The sex-by-year interaction was not significant (p = 0.304), indicating parallel temporal trends. The male-to-female ratio varied by group: INF (1.61), IHD (1.56), CMP (1.48), HF (1.06), and ARR (0.92), the latter being the only group with female excess (Fig. 2A).</w:t>
      </w:r>
    </w:p>
    <w:p>
      <w:pPr>
        <w:pStyle w:val="Normal"/>
      </w:pPr>
      <w:r>
        <w:t xml:space="preserve">Age distribution — Elderly individuals (≥60 years) accounted for 75.3% of deaths. The age-sex pyramid (Fig. 3) illustrates the concentration of mortality in the 65–74 and 75+ age groups. Age-standardised rates tracked closely with crude rates (Supplementary Fig. S3), confirming that the observed increase was not driven solely by population ageing.</w:t>
      </w:r>
    </w:p>
    <w:p>
      <w:pPr>
        <w:pStyle w:val="Normal"/>
      </w:pPr>
      <w:r>
        <w:t xml:space="preserve">COVID-19 impact — Comparison of pre-pandemic (2018–2019) with pandemic years (2020–2021) revealed a 15.3% increase in mean cardiovascular mortality rate (from 107.5 to 123.9 per 100,000). The joinpoint at 2019 further supports the pandemic’s role in accelerating cardiovascular mortality.</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I — Clinical and epidemiological characteristics of cardiovascular deaths by disease group, Campo Grande, MS, Brazil, 2013–2022.</w:t>
      </w:r>
    </w:p>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04"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Overall</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N = 9791</w:t>
            </w:r>
            <w:r>
              <w:rPr>
                <w:rFonts w:ascii="Times New Roman" w:hAnsi="Times New Roman" w:eastAsia="Times New Roman" w:cs="Times New Roman"/>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Ischaemic heart disease</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N = 7579</w:t>
            </w:r>
            <w:r>
              <w:rPr>
                <w:rFonts w:ascii="Times New Roman" w:hAnsi="Times New Roman" w:eastAsia="Times New Roman" w:cs="Times New Roman"/>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Heart failure</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N = 746</w:t>
            </w:r>
            <w:r>
              <w:rPr>
                <w:rFonts w:ascii="Times New Roman" w:hAnsi="Times New Roman" w:eastAsia="Times New Roman" w:cs="Times New Roman"/>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Arrhythmias</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N = 673</w:t>
            </w:r>
            <w:r>
              <w:rPr>
                <w:rFonts w:ascii="Times New Roman" w:hAnsi="Times New Roman" w:eastAsia="Times New Roman" w:cs="Times New Roman"/>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Cardiomyopathies</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N = 514</w:t>
            </w:r>
            <w:r>
              <w:rPr>
                <w:rFonts w:ascii="Times New Roman" w:hAnsi="Times New Roman" w:eastAsia="Times New Roman" w:cs="Times New Roman"/>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Inflammatory</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N = 279</w:t>
            </w:r>
            <w:r>
              <w:rPr>
                <w:rFonts w:ascii="Times New Roman" w:hAnsi="Times New Roman" w:eastAsia="Times New Roman" w:cs="Times New Roman"/>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p-value</w:t>
            </w:r>
            <w:r>
              <w:rPr>
                <w:rFonts w:ascii="Times New Roman" w:hAnsi="Times New Roman" w:eastAsia="Times New Roman" w:cs="Times New Roman"/>
                <w:i w:val="false"/>
                <w:b w:val="false"/>
                <w:u w:val="none"/>
                <w:strike w:val="false"/>
                <w:vertAlign w:val="superscript"/>
                <w:sz w:val="16"/>
                <w:szCs w:val="16"/>
                <w:color w:val="000000"/>
              </w:rPr>
              <w:t xml:space="preserve">2</w:t>
            </w:r>
          </w:p>
        </w:tc>
      </w:tr>
      <w:tr>
        <w:trPr>
          <w:trHeight w:val="521"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Sex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&lt;0.001</w:t>
            </w:r>
          </w:p>
        </w:tc>
      </w:tr>
      <w:tr>
        <w:trPr>
          <w:trHeight w:val="55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3,986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2,958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363 (48.7%)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351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207 (40.3%)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107 (38.4%)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5,805 (59.3%)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4,621 (61.0%)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383 (51.3%)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322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307 (59.7%)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172 (61.6%)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70 (60–80)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 (59–79)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74 (61–83)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 (67–86)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70 (56–81)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 (49–72)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&lt;0.001</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Age group,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&lt;0.001</w:t>
            </w:r>
          </w:p>
        </w:tc>
      </w:tr>
      <w:tr>
        <w:trPr>
          <w:trHeight w:val="55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40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297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180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34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19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34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30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2,090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1,710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121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68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111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80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7,324 (75.1%)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5,659 (74.9%)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573 (77.3%)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581 (87.0%)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349 (68.2%)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162 (58.1%)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Race/Ethnicity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0.013</w:t>
            </w:r>
          </w:p>
        </w:tc>
      </w:tr>
      <w:tr>
        <w:trPr>
          <w:trHeight w:val="55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92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401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292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40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32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22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Indigenous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4,076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3,177 (42.0%)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307 (41.2%)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257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211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124 (44.4%)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5,176 (52.9%)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4,015 (53.0%)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390 (52.3%)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365 (54.3%)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269 (52.3%)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137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2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Education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&lt;0.001</w:t>
            </w:r>
          </w:p>
        </w:tc>
      </w:tr>
      <w:tr>
        <w:trPr>
          <w:trHeight w:val="55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1,378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1,034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128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133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60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23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4,778 (51.8%)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3,686 (51.7%)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367 (52.3%)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344 (52.5%)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250 (52.4%)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131 (49.4%)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2,374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1,868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154 (21.9%)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135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132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85 (32.1%)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697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540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53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35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26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24"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Marital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&lt;0.001</w:t>
            </w:r>
          </w:p>
        </w:tc>
      </w:tr>
      <w:tr>
        <w:trPr>
          <w:trHeight w:val="55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Common-law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92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65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Divorced/Separated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1,383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1,130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84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81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61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27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Married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3,513 (36.2%)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2,749 (36.5%)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267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213 (31.7%)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168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116 (42.6%)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Single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2,564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2,009 (26.7%)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159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164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144 (29.0%)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88 (32.4%)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Widowed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2,144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1,574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212 (29.0%)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207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116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35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24"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Place of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&lt;0.001</w:t>
            </w:r>
          </w:p>
        </w:tc>
      </w:tr>
      <w:tr>
        <w:trPr>
          <w:trHeight w:val="55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3,224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2,889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100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96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126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Hospital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4,739 (48.4%)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3,029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594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523 (77.7%)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335 (65.2%)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258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435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388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Other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1,235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1,126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33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31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body32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Public road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158 (1.6%)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147 (1.9%)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 (0.3%)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 (0.6%)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 (0.8%)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 (0.4%)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footer 1
        <w:tc>
          <w:tcPr>
            <w:gridSpan w:val="8"/>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vertAlign w:val="superscript"/>
                <w:sz w:val="16"/>
                <w:szCs w:val="16"/>
                <w:color w:val="000000"/>
              </w:rPr>
              <w:t xml:space="preserve">1</w:t>
            </w:r>
            <w:r>
              <w:rPr>
                <w:rFonts w:ascii="Times New Roman" w:hAnsi="Times New Roman" w:eastAsia="Times New Roman" w:cs="Times New Roman"/>
                <w:i w:val="false"/>
                <w:b w:val="false"/>
                <w:u w:val="none"/>
                <w:strike w:val="false"/>
                <w:sz w:val="16"/>
                <w:szCs w:val="16"/>
                <w:color w:val="000000"/>
              </w:rPr>
              <w:t xml:space="preserve">n (%); Median (Q1–Q3)</w:t>
            </w:r>
          </w:p>
        </w:tc>
      </w:tr>
      <w:tr>
        <w:trPr>
          <w:trHeight w:val="360" w:hRule="auto"/>
        </w:trPr>
        footer 2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vertAlign w:val="superscript"/>
                <w:sz w:val="16"/>
                <w:szCs w:val="16"/>
                <w:color w:val="000000"/>
              </w:rPr>
              <w:t xml:space="preserve">2</w:t>
            </w:r>
            <w:r>
              <w:rPr>
                <w:rFonts w:ascii="Times New Roman" w:hAnsi="Times New Roman" w:eastAsia="Times New Roman" w:cs="Times New Roman"/>
                <w:i w:val="false"/>
                <w:b w:val="false"/>
                <w:u w:val="none"/>
                <w:strike w:val="false"/>
                <w:sz w:val="16"/>
                <w:szCs w:val="16"/>
                <w:color w:val="000000"/>
              </w:rPr>
              <w:t xml:space="preserve">Pearson's Chi-squared test; Kruskal-Wallis rank sum test</w:t>
            </w:r>
          </w:p>
        </w:tc>
      </w:tr>
    </w:tbl>
    <w:p>
      <w:pPr>
        <w:pStyle w:val="Normal"/>
      </w:pPr>
      <w:r>
        <w:t xml:space="preserve">IHD: ischaemic heart disease; HF: heart failure; ARR: arrhythmias; CMP: cardiomyopathies; INF: inflammatory heart diseases. Values are n (%) for categorical variables and median (IQR) for continuous variables. P-values from chi-squared test (categorical) or Kruskal-Wallis test (continuous).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II — Crude and age-standardised mortality rates (per 100,000 population) by cardiovascular disease group, Campo Grande, MS, 2013–2022.</w:t>
      </w:r>
    </w:p>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3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IHD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CMP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INF</w:t>
            </w:r>
          </w:p>
        </w:tc>
      </w:tr>
      <w:tr>
        <w:trPr>
          <w:trHeight w:val="57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73.4 (86.5)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(12.3)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6.7 (7.6)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(3.3)</w:t>
            </w:r>
          </w:p>
        </w:tc>
      </w:tr>
      <w:tr>
        <w:trPr>
          <w:trHeight w:val="57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75.9 (89.5)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 (2.5)</w:t>
            </w:r>
          </w:p>
        </w:tc>
      </w:tr>
      <w:tr>
        <w:trPr>
          <w:trHeight w:val="57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74.2 (86.9)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(3)</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86.6 (100.7)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(3.1)</w:t>
            </w:r>
          </w:p>
        </w:tc>
      </w:tr>
      <w:tr>
        <w:trPr>
          <w:trHeight w:val="5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76.6 (89.8)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 (2.5)</w:t>
            </w:r>
          </w:p>
        </w:tc>
      </w:tr>
      <w:tr>
        <w:trPr>
          <w:trHeight w:val="57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83.5 (98.6)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9.1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(4.1)</w:t>
            </w:r>
          </w:p>
        </w:tc>
      </w:tr>
      <w:tr>
        <w:trPr>
          <w:trHeight w:val="5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87.2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(4.4)</w:t>
            </w:r>
          </w:p>
        </w:tc>
      </w:tr>
      <w:tr>
        <w:trPr>
          <w:trHeight w:val="57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92 (108.2)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8.8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(3.7)</w:t>
            </w:r>
          </w:p>
        </w:tc>
      </w:tr>
      <w:tr>
        <w:trPr>
          <w:trHeight w:val="5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105.7 (123.6)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(4.6)</w:t>
            </w:r>
          </w:p>
        </w:tc>
      </w:tr>
      <w:tr>
        <w:trPr>
          <w:trHeight w:val="574"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105.3 (122.8)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 (8.6)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 (13.5)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 (4.2)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(5.9)</w:t>
            </w:r>
          </w:p>
        </w:tc>
      </w:tr>
    </w:tbl>
    <w:p>
      <w:pPr>
        <w:pStyle w:val="Normal"/>
      </w:pPr>
      <w:r>
        <w:t xml:space="preserve">Values are crude rate (age-standardised rate). Age-standardised rates computed by direct standardisation using the WHO World Standard Population (Segi–Doll modified). IHD: ischaemic heart disease; HF: heart failure; ARR: arrhythmias; CMP: cardiomyopathies; INF: inflammatory heart diseases.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III — Temporal trend analysis: annual percentage change (Poisson regression) and Prais-Winsten regression for cardiovascular mortality by disease group, Campo Grande, MS, 2013–2022.</w:t>
      </w:r>
    </w:p>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APC %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(Poisson)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Beta PW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(PW)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Trend</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IHD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4.31 (3.48 to 5.14)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3.906 (0.711)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Increasing</w:t>
            </w:r>
          </w:p>
        </w:tc>
      </w:tr>
      <w:tr>
        <w:trPr>
          <w:trHeight w:val="57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-8.73 (-11.03 to -6.38)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-0.742 (0.468)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Stationary</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 (6.62 to 12.56)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0.706 (0.121)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Increasing</w:t>
            </w:r>
          </w:p>
        </w:tc>
      </w:tr>
      <w:tr>
        <w:trPr>
          <w:trHeight w:val="57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-3.79 (-6.66 to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 (0.164)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Stationary</w:t>
            </w:r>
          </w:p>
        </w:tc>
      </w:tr>
      <w:tr>
        <w:trPr>
          <w:trHeight w:val="574"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8.42 (4.00 to 13.09)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0.305 (0.055)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Increasing</w:t>
            </w:r>
          </w:p>
        </w:tc>
      </w:tr>
    </w:tbl>
    <w:p>
      <w:pPr>
        <w:pStyle w:val="Normal"/>
      </w:pPr>
      <w:r>
        <w:t xml:space="preserve">APC: annual percentage change from Poisson regression with population offset. β PW: slope coefficient from Prais-Winsten regression (change in rate per 100,000 per year). SE: standard error. Trend classification: increasing (positive β, p &lt; 0.05), decreasing (negative β, p &lt; 0.05), or stationary (p ≥ 0.05).</w:t>
      </w:r>
    </w:p>
    <w:p>
      <w:pPr>
        <w:pStyle w:val="Normal"/>
      </w:pPr>
      <w:r>
        <w:t xml:space="preserve"/>
      </w:r>
    </w:p>
    <w:p>
      <w:pPr/>
      <w:r>
        <w:br w:type="pag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 1 — Temporal trends in cardiovascular mortality rates in Campo Grande, Mato Grosso do Sul, Brazil, 2013–2022.</w:t>
      </w:r>
    </w:p>
    <w:p>
      <w:pPr>
        <w:pStyle w:val="Normal"/>
      </w:pPr>
      <w:r>
        <w:rPr/>
        <w:drawing>
          <wp:inline distT="0" distB="0" distL="0" distR="0">
            <wp:extent cx="5486400" cy="5486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76200" cy="76200"/>
                    </a:xfrm>
                    <a:prstGeom prst="rect">
                      <a:avLst/>
                    </a:prstGeom>
                    <a:noFill/>
                  </pic:spPr>
                </pic:pic>
              </a:graphicData>
            </a:graphic>
          </wp:inline>
        </w:drawing>
      </w:r>
    </w:p>
    <w:p>
      <w:pPr>
        <w:pStyle w:val="Normal"/>
      </w:pPr>
      <w:r>
        <w:t xml:space="preserve">(A) Overall crude mortality rate (solid line) with joinpoint regression fit (dashed red line). The dotted vertical line indicates the identified breakpoint at 2019. (B) Disease-specific crude mortality rates over time. IHD: ischaemic heart disease; HF: heart failure; ARR: arrhythmias; CMP: cardiomyopathies; INF: inflammatory heart diseases.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 2 — Cardiovascular mortality by sex in Campo Grande, Mato Grosso do Sul, Brazil, 2013–2022.</w:t>
      </w:r>
    </w:p>
    <w:p>
      <w:pPr>
        <w:pStyle w:val="Normal"/>
      </w:pPr>
      <w:r>
        <w:rPr/>
        <w:drawing>
          <wp:inline distT="0" distB="0" distL="0" distR="0">
            <wp:extent cx="5669280" cy="29260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78740" cy="40640"/>
                    </a:xfrm>
                    <a:prstGeom prst="rect">
                      <a:avLst/>
                    </a:prstGeom>
                    <a:noFill/>
                  </pic:spPr>
                </pic:pic>
              </a:graphicData>
            </a:graphic>
          </wp:inline>
        </w:drawing>
      </w:r>
    </w:p>
    <w:p>
      <w:pPr>
        <w:pStyle w:val="Normal"/>
      </w:pPr>
      <w:r>
        <w:t xml:space="preserve">(A) Proportional distribution of deaths by sex across cardiovascular disease groups. Percentages shown above each bar. (B) Sex-specific crude mortality rates over time (per 100,000 population). IRR (male vs female) = 1.59 (95% CI: 1.47–1.72).</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 3 — Age–sex pyramid of cardiovascular deaths in Campo Grande, Mato Grosso do Sul, Brazil, 2013–2022.</w:t>
      </w:r>
    </w:p>
    <w:p>
      <w:pPr>
        <w:pStyle w:val="Normal"/>
      </w:pPr>
      <w:r>
        <w:rPr/>
        <w:drawing>
          <wp:inline distT="0" distB="0" distL="0" distR="0">
            <wp:extent cx="4114800" cy="34747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7150" cy="48260"/>
                    </a:xfrm>
                    <a:prstGeom prst="rect">
                      <a:avLst/>
                    </a:prstGeom>
                    <a:noFill/>
                  </pic:spPr>
                </pic:pic>
              </a:graphicData>
            </a:graphic>
          </wp:inline>
        </w:drawing>
      </w:r>
    </w:p>
    <w:p>
      <w:pPr>
        <w:pStyle w:val="Normal"/>
      </w:pPr>
      <w:r>
        <w:t xml:space="preserve">Blue bars (left): male deaths; red bars (right): female deaths. The majority of cardiovascular deaths were concentrated in the ≥65-year age groups, with male predominance across most age strata.</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 4 — Heatmap of cardiovascular disease-specific mortality rates (per 100,000 population) by year, Campo Grande, Mato Grosso do Sul, Brazil, 2013–2022.</w:t>
      </w:r>
    </w:p>
    <w:p>
      <w:pPr>
        <w:pStyle w:val="Normal"/>
      </w:pPr>
      <w:r>
        <w:rPr/>
        <w:drawing>
          <wp:inline distT="0" distB="0" distL="0" distR="0">
            <wp:extent cx="5669280" cy="25603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78740" cy="35560"/>
                    </a:xfrm>
                    <a:prstGeom prst="rect">
                      <a:avLst/>
                    </a:prstGeom>
                    <a:noFill/>
                  </pic:spPr>
                </pic:pic>
              </a:graphicData>
            </a:graphic>
          </wp:inline>
        </w:drawing>
      </w:r>
    </w:p>
    <w:p>
      <w:pPr>
        <w:pStyle w:val="Normal"/>
      </w:pPr>
      <w:r>
        <w:t xml:space="preserve">Colour intensity reflects the magnitude of the mortality rate. Note the progressive intensification of IHD rates from 2019 onward and the declining HF rates across the period.</w:t>
      </w:r>
    </w:p>
    <w:p>
      <w:pPr>
        <w:pStyle w:val="Titre1"/>
      </w:pPr>
      <w:r>
        <w:t xml:space="preserve">DISCUSSION</w:t>
      </w:r>
    </w:p>
    <w:p>
      <w:pPr>
        <w:pStyle w:val="Normal"/>
      </w:pPr>
      <w:r>
        <w:t xml:space="preserve">This study provides the first comprehensive analysis of cardiovascular mortality trends in Campo Grande over a ten-year period. The principal findings were: (i) an increasing overall trend of +3.3% per year, primarily driven by IHD; (ii) heterogeneous trends across disease groups, with ARR and INF increasing while HF and CMP declined; (iii) 59% higher mortality in males; (iv) a high proportion of IHD deaths occurring at home (38.1%); and (v) significant acceleration in mortality after 2019, temporally associated with the COVID-19 pandemic.</w:t>
      </w:r>
    </w:p>
    <w:p>
      <w:pPr>
        <w:pStyle w:val="Normal"/>
      </w:pPr>
      <w:r>
        <w:t xml:space="preserve">The increasing trend in IHD mortality contrasts with national data showing declining age-standardised rates between 2000 and 2018 (Lotufo et al. 2021, Mansur &amp; Favarato 2016). However, this national decline has been geographically uneven, with the Central-West region showing slower improvement (Brant et al. 2025). Municipal-level analyses from the GBD study have revealed that many medium-sized cities outside the southern axis continue to experience rising IHD mortality, particularly when crude rates are considered alongside population ageing (Nascimento et al. 2020). Silva et al. (2024) documented increasing AMI mortality in several Brazilian regions between 2013 and 2023, particularly in areas with lower healthcare infrastructure density. Santo et al. (2024) similarly identified IHD as a persistent challenge when multiple causes of death are considered.</w:t>
      </w:r>
    </w:p>
    <w:p>
      <w:pPr>
        <w:pStyle w:val="Normal"/>
      </w:pPr>
      <w:r>
        <w:t xml:space="preserve">The declining trend in HF mortality (−8.7% per year, Poisson) aligns with national findings (Gaui et al. 2021, Stevens et al. 2022), attributed to advances in pharmacological treatment including renin-angiotensin-aldosterone system inhibitors and beta-blockers. The reclassification to stationary by Prais-Winsten suggests this decline may have decelerated recently, warranting further investigation.</w:t>
      </w:r>
    </w:p>
    <w:p>
      <w:pPr>
        <w:pStyle w:val="Normal"/>
      </w:pPr>
      <w:r>
        <w:t xml:space="preserve">The marked increase in ARR mortality (+9.5% per year) deserves attention. This may partly reflect improvements in diagnostic and coding practices, rather than a true epidemiological increase (Oliveira et al. 2024). Nevertheless, population ageing and increasing atrial fibrillation prevalence may also contribute. The female predominance in ARR mortality is consistent with higher atrial fibrillation prevalence among elderly women, a growing demographic segment in Campo Grande.</w:t>
      </w:r>
    </w:p>
    <w:p>
      <w:pPr>
        <w:pStyle w:val="Normal"/>
      </w:pPr>
      <w:r>
        <w:t xml:space="preserve">One of the most clinically significant findings is the high proportion of IHD deaths at home (38.1%), nearly equal to hospital deaths (40.0%). Brant et al. (2020a) reported similar findings for AMI in Brazilian state capitals (40–50% out-of-hospital). These likely represent sudden cardiac events where patients did not recognise symptoms, delayed calling emergency services, or faced access barriers. This finding has direct public health implications: expanded education campaigns on AMI symptom recognition, strengthened SAMU response capacity, and improved distribution of automated external defibrillators.</w:t>
      </w:r>
    </w:p>
    <w:p>
      <w:pPr>
        <w:pStyle w:val="Normal"/>
      </w:pPr>
      <w:r>
        <w:t xml:space="preserve">The male predominance (IRR = 1.59) is consistent with national and international literature (Santos et al. 2022). Sex-specific differences are attributed to biological factors (hormonal protection in pre-menopausal women), behavioural risk factors, and differential healthcare-seeking behaviour. The stable sex gap over time (non-significant interaction) suggests these determinants have not shifted substantially in Campo Grande during the study period.</w:t>
      </w:r>
    </w:p>
    <w:p>
      <w:pPr>
        <w:pStyle w:val="Normal"/>
      </w:pPr>
      <w:r>
        <w:t xml:space="preserve">The racial/ethnic composition (52.9% White, 41.6% Mixed) broadly reflects Campo Grande’s demographics. Educational attainment, with nearly half of deaths among individuals with primary education, mirrors national data linking lower education to higher cardiovascular mortality (Brant et al. 2021, Cardoso et al. 2021). Nascimento et al. (2022) demonstrated that social vulnerability indices correlated with cardiovascular mortality at the municipal level, reinforcing the role of social determinants.</w:t>
      </w:r>
    </w:p>
    <w:p>
      <w:pPr>
        <w:pStyle w:val="Normal"/>
      </w:pPr>
      <w:r>
        <w:t xml:space="preserve">The acceleration after 2019, identified by joinpoint analysis, is consistent with COVID-19’s documented impact on cardiovascular outcomes. Brant et al. (2020b) demonstrated excess cardiovascular mortality in Brazilian capitals during 2020, while Normando et al. (2021) reported a 15% reduction in cardiovascular hospitalisations accompanied by increased mortality. Alencar et al. (2022) and Santos et al. (2023) further documented synergistic effects through direct (myocardial injury, thrombosis) and indirect (disrupted care) mechanisms.</w:t>
      </w:r>
    </w:p>
    <w:p>
      <w:pPr>
        <w:pStyle w:val="Normal"/>
      </w:pPr>
      <w:r>
        <w:t xml:space="preserve">Strengths of this study include its complete decade coverage, use of three complementary statistical methods, and classification into pathophysiologically meaningful groups. Limitations include those inherent to ecological studies using secondary data: potential misclassification of underlying cause, uncertainty in intercensal population estimates, and inability to assess individual-level risk factors or comorbidities.</w:t>
      </w:r>
    </w:p>
    <w:p>
      <w:pPr>
        <w:pStyle w:val="Normal"/>
      </w:pPr>
      <w:r>
        <w:t xml:space="preserve">In conclusion, cardiovascular mortality in Campo Grande increased significantly between 2013 and 2022, driven primarily by ischaemic heart disease. The high proportion of out-of-hospital IHD deaths, increasing arrhythmia-related mortality, and COVID-19-era acceleration highlight critical gaps in cardiovascular care and prevention in this Central-West capital. Future research should investigate spatial distribution of deaths, risk factor prevalence trends, and emergency care network effectiveness.</w:t>
      </w:r>
    </w:p>
    <w:p>
      <w:pPr>
        <w:pStyle w:val="Titre1"/>
      </w:pPr>
      <w:r>
        <w:t xml:space="preserve">ACKNOWLEDGEMENTS</w:t>
      </w:r>
    </w:p>
    <w:p>
      <w:pPr>
        <w:pStyle w:val="Normal"/>
      </w:pPr>
      <w:r>
        <w:t xml:space="preserve">To the health surveillance teams of Campo Grande for maintaining the quality of the SIM database, and to IBGE for population estimates.</w:t>
      </w:r>
    </w:p>
    <w:p>
      <w:pPr>
        <w:pStyle w:val="Titre1"/>
      </w:pPr>
      <w:r>
        <w:t xml:space="preserve">CONFLICTS OF INTEREST</w:t>
      </w:r>
    </w:p>
    <w:p>
      <w:pPr>
        <w:pStyle w:val="Normal"/>
      </w:pPr>
      <w:r>
        <w:t xml:space="preserve">The authors declare no competing interests.</w:t>
      </w:r>
    </w:p>
    <w:p>
      <w:pPr>
        <w:pStyle w:val="Titre1"/>
      </w:pPr>
      <w:r>
        <w:t xml:space="preserve">AUTHORS’ CONTRIBUTION</w:t>
      </w:r>
    </w:p>
    <w:p>
      <w:pPr>
        <w:pStyle w:val="Normal"/>
      </w:pPr>
      <w:r>
        <w:t xml:space="preserve">JV — conceptualisation, study design, data extraction, preliminary analysis, original draft writing; EFO (PhD) — study supervision, methodological guidance, critical review and editing of the manuscript; AV (PhD, LSHTM) — statistical design, epidemiological modelling, data analysis and interpretation, code development, manuscript revision and final editing. All authors read, reviewed, and approved the final version of the manuscript.</w:t>
      </w:r>
    </w:p>
    <w:p>
      <w:pPr/>
      <w:r>
        <w:br w:type="page"/>
      </w:r>
    </w:p>
    <w:p>
      <w:pPr>
        <w:pStyle w:val="Titre1"/>
      </w:pPr>
      <w:r>
        <w:t xml:space="preserve">SUPPLEMENTARY MATERIAL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Supplementary Fig. S1 — Proportional distribution of deaths by place of occurrence across cardiovascular disease groups, Campo Grande, MS, 2013–2022.</w:t>
      </w:r>
    </w:p>
    <w:p>
      <w:pPr>
        <w:pStyle w:val="Normal"/>
      </w:pPr>
      <w:r>
        <w:rPr/>
        <w:drawing>
          <wp:inline distT="0" distB="0" distL="0" distR="0">
            <wp:extent cx="5486400" cy="292608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76200" cy="40640"/>
                    </a:xfrm>
                    <a:prstGeom prst="rect">
                      <a:avLst/>
                    </a:prstGeom>
                    <a:noFill/>
                  </pic:spPr>
                </pic:pic>
              </a:graphicData>
            </a:graphic>
          </wp:inline>
        </w:drawing>
      </w:r>
    </w:p>
    <w:p>
      <w:pPr>
        <w:pStyle w:val="Normal"/>
      </w:pPr>
      <w:r>
        <w:t xml:space="preserve">Note the distinctive pattern of IHD, where home deaths (38.1%) nearly equal hospital deaths (40.0%), in contrast to all other groups where hospital deaths predominate.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Supplementary Fig. S2 — Kernel density distribution of age at death by cardiovascular disease group, Campo Grande, MS, 2013–2022.</w:t>
      </w:r>
    </w:p>
    <w:p>
      <w:pPr>
        <w:pStyle w:val="Normal"/>
      </w:pPr>
      <w:r>
        <w:rPr/>
        <w:drawing>
          <wp:inline distT="0" distB="0" distL="0" distR="0">
            <wp:extent cx="5486400" cy="292608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76200" cy="40640"/>
                    </a:xfrm>
                    <a:prstGeom prst="rect">
                      <a:avLst/>
                    </a:prstGeom>
                    <a:noFill/>
                  </pic:spPr>
                </pic:pic>
              </a:graphicData>
            </a:graphic>
          </wp:inline>
        </w:drawing>
      </w:r>
    </w:p>
    <w:p>
      <w:pPr>
        <w:pStyle w:val="Normal"/>
      </w:pPr>
      <w:r>
        <w:t xml:space="preserve">INF shows the widest age distribution with a younger median (63 years), while ARR shows a distribution shifted towards older ages (median 78 years).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Supplementary Fig. S3 — Comparison of crude and WHO age-standardised overall cardiovascular mortality rates, Campo Grande, MS, 2013–2022.</w:t>
      </w:r>
    </w:p>
    <w:p>
      <w:pPr>
        <w:pStyle w:val="Normal"/>
      </w:pPr>
      <w:r>
        <w:rPr/>
        <w:drawing>
          <wp:inline distT="0" distB="0" distL="0" distR="0">
            <wp:extent cx="5486400" cy="292608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76200" cy="40640"/>
                    </a:xfrm>
                    <a:prstGeom prst="rect">
                      <a:avLst/>
                    </a:prstGeom>
                    <a:noFill/>
                  </pic:spPr>
                </pic:pic>
              </a:graphicData>
            </a:graphic>
          </wp:inline>
        </w:drawing>
      </w:r>
    </w:p>
    <w:p>
      <w:pPr>
        <w:pStyle w:val="Normal"/>
      </w:pPr>
      <w:r>
        <w:t xml:space="preserve">The close tracking of crude and age-standardised rates confirms that the observed temporal increase is not solely attributable to population ageing.</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Supplementary Fig. S4 — Forest plot of annual percentage change (APC) with 95% confidence intervals by cardiovascular disease group, Campo Grande, MS, 2013–2022.</w:t>
      </w:r>
    </w:p>
    <w:p>
      <w:pPr>
        <w:pStyle w:val="Normal"/>
      </w:pPr>
      <w:r>
        <w:rPr/>
        <w:drawing>
          <wp:inline distT="0" distB="0" distL="0" distR="0">
            <wp:extent cx="4114800" cy="210312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7150" cy="29210"/>
                    </a:xfrm>
                    <a:prstGeom prst="rect">
                      <a:avLst/>
                    </a:prstGeom>
                    <a:noFill/>
                  </pic:spPr>
                </pic:pic>
              </a:graphicData>
            </a:graphic>
          </wp:inline>
        </w:drawing>
      </w:r>
    </w:p>
    <w:p>
      <w:pPr>
        <w:pStyle w:val="Normal"/>
      </w:pPr>
      <w:r>
        <w:t xml:space="preserve">Diamond markers indicate point estimates; horizontal lines represent 95% confidence intervals. The vertical dashed line at zero separates increasing from decreasing trends.</w:t>
      </w:r>
    </w:p>
    <w:p>
      <w:pPr>
        <w:pStyle w:val="Titre1"/>
      </w:pPr>
      <w:r>
        <w:t xml:space="preserve">REFERENCES</w:t>
      </w:r>
    </w:p>
    <w:p>
      <w:pPr>
        <w:pStyle w:val="Normal"/>
      </w:pPr>
      <w:r>
        <w:t xml:space="preserve">Ahmad OB, Boschi-Pinto C, Lopez AD, Murray CJL, Lozano R, Inoue M. 2001. Age standardization of rates: a new WHO standard. GPE Discussion Paper Series No. 31. World Health Organization, Geneva. 14 pp.</w:t>
      </w:r>
    </w:p>
    <w:p>
      <w:pPr>
        <w:pStyle w:val="Normal"/>
      </w:pPr>
      <w:r>
        <w:t xml:space="preserve">Alencar AP, Souza HP, Fonseca L, Brant LCC. 2022. Covid-19 in Brazil in 2020: impact on deaths from cancer and cardiovascular diseases. Cad Saude Publica. 38(4): e00093921.</w:t>
      </w:r>
    </w:p>
    <w:p>
      <w:pPr>
        <w:pStyle w:val="Normal"/>
      </w:pPr>
      <w:r>
        <w:t xml:space="preserve">Almeida JS, Santos JC, Silva GAP. 2025. Analysis of mortality by cardiovascular disease subgroups in Brazil before and during the COVID-19 pandemic (2000–2022) by sex and age group. BMC Cardiovasc Disord. 25(1): 398.</w:t>
      </w:r>
    </w:p>
    <w:p>
      <w:pPr>
        <w:pStyle w:val="Normal"/>
      </w:pPr>
      <w:r>
        <w:t xml:space="preserve">Almeida WS, Szwarcwald CL, Frias PG. 2025. Avaliação da qualidade do Sistema Brasileiro de Informações sobre Mortalidade (SIM): uma scoping review. Cienc Saude Coletiva. 30(1): e12342024.</w:t>
      </w:r>
    </w:p>
    <w:p>
      <w:pPr>
        <w:pStyle w:val="Normal"/>
      </w:pPr>
      <w:r>
        <w:t xml:space="preserve">Antunes JLF, Cardoso MRA. 2015. Uso da análise de séries temporais em estudos epidemiológicos. Epidemiol Serv Saude. 24(3): 565–576.</w:t>
      </w:r>
    </w:p>
    <w:p>
      <w:pPr>
        <w:pStyle w:val="Normal"/>
      </w:pPr>
      <w:r>
        <w:t xml:space="preserve">Brant LCC, Nascimento BR, Teixeira RA, Lopes MACQ, Malta DC, Oliveira GMM, Ribeiro ALP. 2020a. In- and Out-of-Hospital Deaths by Acute Myocardial Infarction in Brazilian State Capitals. Arq Bras Cardiol. 115(3): 478–485.</w:t>
      </w:r>
    </w:p>
    <w:p>
      <w:pPr>
        <w:pStyle w:val="Normal"/>
      </w:pPr>
      <w:r>
        <w:t xml:space="preserve">Brant LCC, Nascimento BR, Teixeira RA, Lopes MACQ, Malta DC, Oliveira GMM, Ribeiro ALP. 2020b. Excess of cardiovascular deaths during the COVID-19 pandemic in Brazilian capital cities. Heart. 106(24): 1898–1905.</w:t>
      </w:r>
    </w:p>
    <w:p>
      <w:pPr>
        <w:pStyle w:val="Normal"/>
      </w:pPr>
      <w:r>
        <w:t xml:space="preserve">Brant LCC, Ribeiro ALP, Nascimento BR, Oliveira GMM, Malta DC, Teixeira RA. 2021. Socioeconomic position and cardiovascular mortality in 63 million adults from Brazil. Heart. 107(15): 1250–1257.</w:t>
      </w:r>
    </w:p>
    <w:p>
      <w:pPr>
        <w:pStyle w:val="Normal"/>
      </w:pPr>
      <w:r>
        <w:t xml:space="preserve">Brant LCC, Nascimento BR, Ribeiro ALP, Oliveira GMM, Malta DC, Velasquez-Melendez G, Teixeira RA. 2025. Cardiovascular diseases mortality in Brazilian municipalities: estimates from the Global Burden of Disease study, 2000–2018. Lancet Reg Health Am. 44: 100116.</w:t>
      </w:r>
    </w:p>
    <w:p>
      <w:pPr>
        <w:pStyle w:val="Normal"/>
      </w:pPr>
      <w:r>
        <w:t xml:space="preserve">Cardoso LSM, Teixeira RA, Ribeiro ALP. 2021. Desigualdade social e mortalidade precoce por doenças cardiovasculares no Brasil. Rev Saude Publica. 55: 96.</w:t>
      </w:r>
    </w:p>
    <w:p>
      <w:pPr>
        <w:pStyle w:val="Normal"/>
      </w:pPr>
      <w:r>
        <w:t xml:space="preserve">Duncan BB, Schmidt MI, Ewerton Cousin E, Moradi-Lakeh M, Passos VMA, França EB, Marinho F, Mokdad AH. 2016. Time trends in adult chronic disease inequalities by education in Brazil: 1998–2013. Int J Equity Health. 15: 182.</w:t>
      </w:r>
    </w:p>
    <w:p>
      <w:pPr>
        <w:pStyle w:val="Normal"/>
      </w:pPr>
      <w:r>
        <w:t xml:space="preserve">Gaui EN, Oliveira GMM, Klein CH. 2021. Mortality Due to Heart Failure and Socioeconomic Development in Brazil between 1980 and 2018. Arq Bras Cardiol. 117(5): 944–951.</w:t>
      </w:r>
    </w:p>
    <w:p>
      <w:pPr>
        <w:pStyle w:val="Normal"/>
      </w:pPr>
      <w:r>
        <w:t xml:space="preserve">Hilbe JM. 2011. Negative binomial regression. 2nd ed. Cambridge University Press, Cambridge. 553 pp.</w:t>
      </w:r>
    </w:p>
    <w:p>
      <w:pPr>
        <w:pStyle w:val="Normal"/>
      </w:pPr>
      <w:r>
        <w:t xml:space="preserve">Kim HJ, Fay MP, Feuer EJ, Midthune DN. 2000. Permutation tests for joinpoint regression with applications to cancer rates. Stat Med. 19(3): 335–351.</w:t>
      </w:r>
    </w:p>
    <w:p>
      <w:pPr>
        <w:pStyle w:val="Normal"/>
      </w:pPr>
      <w:r>
        <w:t xml:space="preserve">Kirkwood BR, Sterne JAC. 2003. Essential medical statistics. 2nd ed. Blackwell Science, Oxford. 501 pp.</w:t>
      </w:r>
    </w:p>
    <w:p>
      <w:pPr>
        <w:pStyle w:val="Normal"/>
      </w:pPr>
      <w:r>
        <w:t xml:space="preserve">Lopez-Jaramillo P, Joseph P, Lopez-Lopez JP, Lanas F, Avezum A, Diaz R, Yusuf S. 2014. Cardiovascular disease in Latin America: the growing epidemic. Prog Cardiovasc Dis. 57(3): 262–267.</w:t>
      </w:r>
    </w:p>
    <w:p>
      <w:pPr>
        <w:pStyle w:val="Normal"/>
      </w:pPr>
      <w:r>
        <w:t xml:space="preserve">Lotufo PA, Fernandes TG, Bando DH, Alencar AP, Bensenor IJM. 2021. Coronary heart disease and stroke mortality trends in Brazil 2000–2018. PLoS One. 16(8): e0253639.</w:t>
      </w:r>
    </w:p>
    <w:p>
      <w:pPr>
        <w:pStyle w:val="Normal"/>
      </w:pPr>
      <w:r>
        <w:t xml:space="preserve">Lotufo PA, Bensenor IJM. 2024. Ethnicity and cardiovascular mortality in Brazil: a call for papers. Sao Paulo Med J. 142(1): e2024142.</w:t>
      </w:r>
    </w:p>
    <w:p>
      <w:pPr>
        <w:pStyle w:val="Normal"/>
      </w:pPr>
      <w:r>
        <w:t xml:space="preserve">Malta DC, Teixeira RA, Oliveira GMM, Ribeiro ALP. 2022. Premature mortality due to four main non-communicable diseases and suicide in Brazil and its states from 1990 to 2019: a Global Burden of Disease Study. Rev Soc Bras Med Trop. 55: e0263-2021.</w:t>
      </w:r>
    </w:p>
    <w:p>
      <w:pPr>
        <w:pStyle w:val="Normal"/>
      </w:pPr>
      <w:r>
        <w:t xml:space="preserve">Mansur AP, Favarato D. 2011. Trends in ischemic heart disease and stroke death ratios in Brazilian women and men. Clinics (Sao Paulo). 66(1): 63–68.</w:t>
      </w:r>
    </w:p>
    <w:p>
      <w:pPr>
        <w:pStyle w:val="Normal"/>
      </w:pPr>
      <w:r>
        <w:t xml:space="preserve">Mansur AP, Favarato D. 2016. Trends in Mortality Rate from Cardiovascular Disease in Brazil, 1980–2012. Arq Bras Cardiol. 107(1): 20–25.</w:t>
      </w:r>
    </w:p>
    <w:p>
      <w:pPr>
        <w:pStyle w:val="Normal"/>
      </w:pPr>
      <w:r>
        <w:t xml:space="preserve">Mansur AP, Favarato D. 2020. Trends in Mortality Rates from Cardiovascular Disease and Cancer between 2000 and 2015 in the Most Populous Capital Cities of the Five Regions of Brazil. Arq Bras Cardiol. 114(2): 199–206.</w:t>
      </w:r>
    </w:p>
    <w:p>
      <w:pPr>
        <w:pStyle w:val="Normal"/>
      </w:pPr>
      <w:r>
        <w:t xml:space="preserve">Muggeo VMR. 2003. Estimating regression models with unknown break-points. Stat Med. 22(19): 3055–3071.</w:t>
      </w:r>
    </w:p>
    <w:p>
      <w:pPr>
        <w:pStyle w:val="Normal"/>
      </w:pPr>
      <w:r>
        <w:t xml:space="preserve">Nascimento BR, Brant LCC, Oliveira GMM, Malachias MVB, Reis GMA, Teixeira RA, Malta DC, Ribeiro ALP. 2020. Reduction of mortality and predictions for acute myocardial infarction, stroke, and heart failure in Brazil until 2030. Sci Rep. 10: 16520.</w:t>
      </w:r>
    </w:p>
    <w:p>
      <w:pPr>
        <w:pStyle w:val="Normal"/>
      </w:pPr>
      <w:r>
        <w:t xml:space="preserve">Nascimento JOV, Pereira GF, Lima SGF, Santos PM. 2022. Mortality from diseases of the circulatory system in Brazil and its relationship with social determinants focusing on vulnerability: an ecological study. BMC Public Health. 22: 1964.</w:t>
      </w:r>
    </w:p>
    <w:p>
      <w:pPr>
        <w:pStyle w:val="Normal"/>
      </w:pPr>
      <w:r>
        <w:t xml:space="preserve">Normando PG, Araujo-Filho JA, Fonseca GA, Rodrigues REF, Oliveira VA, Hajjar LA, Salemi VMC, Bocchi EA. 2021. Reduction in Hospitalization and Increase in Mortality Due to Cardiovascular Diseases during the COVID-19 Pandemic in Brazil. Arq Bras Cardiol. 116(3): 371–380.</w:t>
      </w:r>
    </w:p>
    <w:p>
      <w:pPr>
        <w:pStyle w:val="Normal"/>
      </w:pPr>
      <w:r>
        <w:t xml:space="preserve">Oliveira GMM, Brant LCC, Polanczyk CA, Biolo A, Nascimento BR, Malta DC, Ribeiro ALP. 2022. Cardiovascular Statistics — Brazil 2021. Arq Bras Cardiol. 118(1): 115–373.</w:t>
      </w:r>
    </w:p>
    <w:p>
      <w:pPr>
        <w:pStyle w:val="Normal"/>
      </w:pPr>
      <w:r>
        <w:t xml:space="preserve">Oliveira GMM, Brant LCC, Polanczyk CA, Malta DC, Biolo A, Nascimento BR, Ribeiro ALP. 2024. Cardiovascular Statistics — Brazil 2023. Arq Bras Cardiol. 121(2): e20240079.</w:t>
      </w:r>
    </w:p>
    <w:p>
      <w:pPr>
        <w:pStyle w:val="Normal"/>
      </w:pPr>
      <w:r>
        <w:t xml:space="preserve">R Core Team. 2025. R: a language and environment for statistical computing. R Foundation for Statistical Computing, Vienna, Austria.</w:t>
      </w:r>
    </w:p>
    <w:p>
      <w:pPr>
        <w:pStyle w:val="Normal"/>
      </w:pPr>
      <w:r>
        <w:t xml:space="preserve">Rasella D, Harhay MO, Pamponet ML, Aquino R, Barreto ML. 2014. Impact of primary health care on mortality from heart and cerebrovascular diseases in Brazil: a nationwide analysis of longitudinal data. BMJ. 349: g4014.</w:t>
      </w:r>
    </w:p>
    <w:p>
      <w:pPr>
        <w:pStyle w:val="Normal"/>
      </w:pPr>
      <w:r>
        <w:t xml:space="preserve">Roth GA, Mensah GA, Johnson CO, et al. 2020. Global Burden of Cardiovascular Diseases and Risk Factors, 1990–2019: Update From the GBD 2019 Study. J Am Coll Cardiol. 76(25): 2982–3021.</w:t>
      </w:r>
    </w:p>
    <w:p>
      <w:pPr>
        <w:pStyle w:val="Normal"/>
      </w:pPr>
      <w:r>
        <w:t xml:space="preserve">Rubinstein AL, Khera R, Irazola V, Calandrelli M, Lanas F. 2025. Cardiovascular disease in the Americas: the epidemiology of cardiovascular disease and its risk factors. Lancet Reg Health Am. 42: 100960.</w:t>
      </w:r>
    </w:p>
    <w:p>
      <w:pPr>
        <w:pStyle w:val="Normal"/>
      </w:pPr>
      <w:r>
        <w:t xml:space="preserve">Santo AH, Pinheiro CE, Rodrigues EM. 2024. Ischemic heart disease-related mortality in Brazil, 2006 to 2020. A study of multiple causes of death. BMC Public Health. 24: 809.</w:t>
      </w:r>
    </w:p>
    <w:p>
      <w:pPr>
        <w:pStyle w:val="Normal"/>
      </w:pPr>
      <w:r>
        <w:t xml:space="preserve">Santos JC, Souza HP, Alencar AP. 2023. Cardiovascular mortality in Brazil during the COVID-19 pandemic: a comparison between underlying and multiple causes of death. Public Health. 224: 58–65.</w:t>
      </w:r>
    </w:p>
    <w:p>
      <w:pPr>
        <w:pStyle w:val="Normal"/>
      </w:pPr>
      <w:r>
        <w:t xml:space="preserve">Santos JE, Brant LCC, Malta DC, Ribeiro ALP, Oliveira GMM. 2022. Sex Differences in Cardiovascular Disease Mortality in Brazil between 1996 and 2019. Int J Environ Res Public Health. 19(19): 12827.</w:t>
      </w:r>
    </w:p>
    <w:p>
      <w:pPr>
        <w:pStyle w:val="Normal"/>
      </w:pPr>
      <w:r>
        <w:t xml:space="preserve">Santos SC, Ribeiro ALP, Brant LCC. 2025. Cardiovascular mortality in Brazil: trends from subgroups of cause of deaths and the role of social development. Discov Public Health. 22: 991.</w:t>
      </w:r>
    </w:p>
    <w:p>
      <w:pPr>
        <w:pStyle w:val="Normal"/>
      </w:pPr>
      <w:r>
        <w:t xml:space="preserve">Silva JB, Santos PM, Nascimento JOV. 2024. Epidemiological Profile of Acute Myocardial Infarction Mortality from 2013 to 2023 in Brazil. Arch Community Med Public Health. 10(3): 314–320.</w:t>
      </w:r>
    </w:p>
    <w:p>
      <w:pPr>
        <w:pStyle w:val="Normal"/>
      </w:pPr>
      <w:r>
        <w:t xml:space="preserve">Souza MFM, Alencar AP, Malta DC, Moura L, Mansur AP. 2016. Cardiovascular Health in Brazil: Trends and Perspectives. Circulation. 133(4): 422–433.</w:t>
      </w:r>
    </w:p>
    <w:p>
      <w:pPr>
        <w:pStyle w:val="Normal"/>
      </w:pPr>
      <w:r>
        <w:t xml:space="preserve">Stevens B, Pezzullo L, Verdian L, Tomlinson J, Estrada-Quintero A, Baio G. 2022. Trends in mortality from heart failure in Brazil: 1998 to 2019. Rev Bras Epidemiol. 25: E220021.</w:t>
      </w:r>
    </w:p>
    <w:p>
      <w:pPr>
        <w:pStyle w:val="Normal"/>
      </w:pPr>
      <w:r>
        <w:t xml:space="preserve">von Elm E, Altman DG, Egger M, Pocock SJ, Gøtzsche PC, Vandenbroucke JP. 2007. The Strengthening the Reporting of Observational Studies in Epidemiology (STROBE) statement: guidelines for reporting observational studies. Lancet. 370(9596): 1453–1457.</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18acaf24e05239037e8fda172fa2548f645a330.png"/>
<Relationship Id="rId8" Type="http://schemas.openxmlformats.org/officeDocument/2006/relationships/image" Target="media/8c344c2464e7cee54dc04b6770a0dc78575d78e9.png"/>
<Relationship Id="rId9" Type="http://schemas.openxmlformats.org/officeDocument/2006/relationships/image" Target="media/a3846f4fa7c5117f05d51a6eb342b881a58d1002.png"/>
<Relationship Id="rId10" Type="http://schemas.openxmlformats.org/officeDocument/2006/relationships/image" Target="media/093a34fc116751641dfb820848fa77a491b3765f.png"/>
<Relationship Id="rId11" Type="http://schemas.openxmlformats.org/officeDocument/2006/relationships/image" Target="media/7f14ad8c1d1c7bde13b15a004114d6d247813d49.png"/>
<Relationship Id="rId12" Type="http://schemas.openxmlformats.org/officeDocument/2006/relationships/image" Target="media/c3e4403edaca54509f5abfdc57e0b132c4d8bf4e.png"/>
<Relationship Id="rId13" Type="http://schemas.openxmlformats.org/officeDocument/2006/relationships/image" Target="media/221c6fa821683159d43e22a975b597dc703157b6.png"/>
<Relationship Id="rId14" Type="http://schemas.openxmlformats.org/officeDocument/2006/relationships/image" Target="media/954027b1df7249f6ad0ff2f28b59092aec1bd7b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lshva8</cp:lastModifiedBy>
  <cp:revision>9</cp:revision>
  <dcterms:created xsi:type="dcterms:W3CDTF">2017-02-28T11:18:00Z</dcterms:created>
  <dcterms:modified xsi:type="dcterms:W3CDTF">2026-03-15T23:47:54Z</dcterms:modified>
  <cp:category/>
</cp:coreProperties>
</file>