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Tendências e determinantes da mortalidade materna no Brasil: análise espaço-temporal, séries interrompidas e exercícios exploratórios de previsão</w:t>
      </w:r>
    </w:p>
    <w:p>
      <w:pPr>
        <w:jc w:val="center"/>
      </w:pPr>
      <w:r>
        <w:rPr>
          <w:b w:val="0"/>
          <w:i/>
        </w:rPr>
        <w:t>Protocolo de pesquisa</w:t>
      </w:r>
    </w:p>
    <w:p>
      <w:pPr>
        <w:pStyle w:val="Heading1"/>
        <w:spacing w:before="240" w:after="120"/>
      </w:pPr>
      <w:r>
        <w:t>1. Introdução</w:t>
      </w:r>
    </w:p>
    <w:p>
      <w:pPr>
        <w:jc w:val="both"/>
      </w:pPr>
      <w:r>
        <w:rPr>
          <w:b w:val="0"/>
          <w:i w:val="0"/>
        </w:rPr>
        <w:t>A mortalidade materna é um indicador sensível do desempenho dos sistemas de saúde, refletindo o acesso, a qualidade e a oportunidade do cuidado ao longo do pré-natal, parto e puerpério. Após avanços expressivos entre 2000 e 2015, o progresso global tem mostrado estagnação, com retrocessos em alguns contextos, especialmente após a pandemia de COVID‑19 (WHO; UNICEF; UNFPA; WORLD BANK; UNDESA, 2023). No Brasil, políticas como a Rede Cegonha (instituída em 2011) foram implementadas para reorganizar as linhas de cuidado materno‑infantil (BRASIL, 2011), ao mesmo tempo em que persistem desigualdades regionais e socioeconômicas. A pandemia impactou fortemente os indicadores de saúde materna em 2020–2021, com aumento abrupto da mortalidade materna, sobretudo em áreas vulneráveis (SIQUEIRA et al., 2021; GUIMARÃES et al., 2023). Nesse cenário, análises de tendência e de efeitos de intervenções/choques são prioritárias; projeções de curto prazo podem ser úteis apenas como ferramentas exploratórias, dadas as limitações dos modelos inerciais em capturar mudanças estruturais.</w:t>
      </w:r>
    </w:p>
    <w:p>
      <w:pPr>
        <w:pStyle w:val="Heading1"/>
        <w:spacing w:before="240" w:after="120"/>
      </w:pPr>
      <w:r>
        <w:t>2. Objetivos</w:t>
      </w:r>
    </w:p>
    <w:p>
      <w:pPr>
        <w:jc w:val="both"/>
      </w:pPr>
      <w:r>
        <w:rPr>
          <w:b/>
          <w:i w:val="0"/>
        </w:rPr>
        <w:t>Objetivo geral:</w:t>
      </w:r>
    </w:p>
    <w:p>
      <w:pPr>
        <w:jc w:val="both"/>
      </w:pPr>
      <w:r>
        <w:rPr>
          <w:b w:val="0"/>
          <w:i w:val="0"/>
        </w:rPr>
        <w:t>Quantificar tendências e padrões espaço‑temporais da mortalidade materna no Brasil (2000–2024), avaliar o impacto de choques/políticas selecionados e realizar exercícios exploratórios de previsão de curto prazo.</w:t>
      </w:r>
    </w:p>
    <w:p>
      <w:pPr>
        <w:jc w:val="both"/>
      </w:pPr>
      <w:r>
        <w:rPr>
          <w:b/>
          <w:i w:val="0"/>
        </w:rPr>
        <w:t>Objetivos específicos:</w:t>
      </w:r>
    </w:p>
    <w:p>
      <w:pPr>
        <w:jc w:val="both"/>
      </w:pPr>
      <w:r>
        <w:rPr>
          <w:b w:val="0"/>
          <w:i w:val="0"/>
        </w:rPr>
        <w:t>• Estimar séries anuais (e mensais, quando viável) de razão de mortalidade materna (RMM) e de óbitos maternos por causa específica.</w:t>
      </w:r>
    </w:p>
    <w:p>
      <w:pPr>
        <w:jc w:val="both"/>
      </w:pPr>
      <w:r>
        <w:rPr>
          <w:b w:val="0"/>
          <w:i w:val="0"/>
        </w:rPr>
        <w:t>• Avaliar tendências por Prais‑Winsten e/ou Joinpoint, estimando variações percentuais anuais (APC/AAPC) (BOTTOMLEY et al., 2023; NCI, 2024).</w:t>
      </w:r>
    </w:p>
    <w:p>
      <w:pPr>
        <w:jc w:val="both"/>
      </w:pPr>
      <w:r>
        <w:rPr>
          <w:b w:val="0"/>
          <w:i w:val="0"/>
        </w:rPr>
        <w:t>• Modelar efeitos de intervenção (Rede Cegonha; ondas da COVID‑19) via séries temporais interrompidas (ITS) (BOTTOMLEY et al., 2023).</w:t>
      </w:r>
    </w:p>
    <w:p>
      <w:pPr>
        <w:jc w:val="both"/>
      </w:pPr>
      <w:r>
        <w:rPr>
          <w:b w:val="0"/>
          <w:i w:val="0"/>
        </w:rPr>
        <w:t>• Explorar desigualdades por UF/região, raça/cor, idade materna e escolaridade.</w:t>
      </w:r>
    </w:p>
    <w:p>
      <w:pPr>
        <w:jc w:val="both"/>
      </w:pPr>
      <w:r>
        <w:rPr>
          <w:b w:val="0"/>
          <w:i w:val="0"/>
        </w:rPr>
        <w:t>• Realizar previsões exploratórias de 1–3 anos, com ressalvas interpretativas.</w:t>
      </w:r>
    </w:p>
    <w:p>
      <w:pPr>
        <w:pStyle w:val="Heading1"/>
        <w:spacing w:before="240" w:after="120"/>
      </w:pPr>
      <w:r>
        <w:t>3. Perguntas e hipóteses</w:t>
      </w:r>
    </w:p>
    <w:p>
      <w:pPr>
        <w:jc w:val="both"/>
      </w:pPr>
      <w:r>
        <w:rPr>
          <w:b w:val="0"/>
          <w:i w:val="0"/>
        </w:rPr>
        <w:t>• H1: A tendência da RMM no Brasil apresenta mudanças de inclinação associadas à implantação da Rede Cegonha (pós‑2011) (BRASIL, 2011).</w:t>
      </w:r>
    </w:p>
    <w:p>
      <w:pPr>
        <w:jc w:val="both"/>
      </w:pPr>
      <w:r>
        <w:rPr>
          <w:b w:val="0"/>
          <w:i w:val="0"/>
        </w:rPr>
        <w:t>• H2: Há elevação pontual da RMM durante as ondas de COVID‑19 (2020–2021), com maior magnitude em UF de maior vulnerabilidade (SIQUEIRA et al., 2021; GUIMARÃES et al., 2023).</w:t>
      </w:r>
    </w:p>
    <w:p>
      <w:pPr>
        <w:jc w:val="both"/>
      </w:pPr>
      <w:r>
        <w:rPr>
          <w:b w:val="0"/>
          <w:i w:val="0"/>
        </w:rPr>
        <w:t>• H3: Persistem desigualdades por raça/cor, escolaridade e região.</w:t>
      </w:r>
    </w:p>
    <w:p>
      <w:pPr>
        <w:pStyle w:val="Heading1"/>
        <w:spacing w:before="240" w:after="120"/>
      </w:pPr>
      <w:r>
        <w:t>4. Desenho do estudo</w:t>
      </w:r>
    </w:p>
    <w:p>
      <w:pPr>
        <w:jc w:val="both"/>
      </w:pPr>
      <w:r>
        <w:rPr>
          <w:b w:val="0"/>
          <w:i w:val="0"/>
        </w:rPr>
        <w:t>Estudo ecológico longitudinal com unidades Brasil/Regiões/Unidades da Federação (e, quando viável, municípios), cobrindo o período de 2000 a 2024 (ou a série máxima de qualidade disponível).</w:t>
      </w:r>
    </w:p>
    <w:p>
      <w:pPr>
        <w:pStyle w:val="Heading1"/>
        <w:spacing w:before="240" w:after="120"/>
      </w:pPr>
      <w:r>
        <w:t>5. Fontes de dados</w:t>
      </w:r>
    </w:p>
    <w:p>
      <w:pPr>
        <w:jc w:val="both"/>
      </w:pPr>
      <w:r>
        <w:rPr>
          <w:b w:val="0"/>
          <w:i w:val="0"/>
        </w:rPr>
        <w:t>• Óbitos maternos (numerador): Sistema de Informações sobre Mortalidade (SIM/DATASUS), via TabNet e Painel de Monitoramento da Mortalidade Materna; classificação por CID‑10 (Capítulo XV: O00–O95, O98–O99), conforme indicador oficial (BRASIL, 2025a; BRASIL, 2025b).</w:t>
      </w:r>
    </w:p>
    <w:p>
      <w:pPr>
        <w:jc w:val="both"/>
      </w:pPr>
      <w:r>
        <w:rPr>
          <w:b w:val="0"/>
          <w:i w:val="0"/>
        </w:rPr>
        <w:t>• Nascidos vivos (denominador): Sistema de Informações sobre Nascidos Vivos (SINASC), via TabNet; considerar documentação de mudanças de instrumentos (PCDaS/Fiocruz; Base dos Dados) (FIOCRUZ, 2023; BASE DOS DADOS, 2024).</w:t>
      </w:r>
    </w:p>
    <w:p>
      <w:pPr>
        <w:jc w:val="both"/>
      </w:pPr>
      <w:r>
        <w:rPr>
          <w:b w:val="0"/>
          <w:i w:val="0"/>
        </w:rPr>
        <w:t>• Covariáveis contextuais (quando disponíveis): cobertura de pré‑natal (início precoce; ≥7 consultas), parto hospitalar/profissional qualificado, taxa de cesarianas, cobertura da Atenção Primária/ESF, leitos/UTI obstétrica; dummies de Rede Cegonha; marcadores de ondas de COVID‑19 (BRASIL, 2011; BRASIL, 2025a).</w:t>
      </w:r>
    </w:p>
    <w:p>
      <w:pPr>
        <w:pStyle w:val="Heading1"/>
        <w:spacing w:before="240" w:after="120"/>
      </w:pPr>
      <w:r>
        <w:t>6. Variáveis e definições</w:t>
      </w:r>
    </w:p>
    <w:p>
      <w:pPr>
        <w:jc w:val="both"/>
      </w:pPr>
      <w:r>
        <w:rPr>
          <w:b/>
          <w:i w:val="0"/>
        </w:rPr>
        <w:t>Desfechos primários:</w:t>
      </w:r>
    </w:p>
    <w:p>
      <w:pPr>
        <w:jc w:val="both"/>
      </w:pPr>
      <w:r>
        <w:rPr>
          <w:b w:val="0"/>
          <w:i w:val="0"/>
        </w:rPr>
        <w:t>• Razão de Mortalidade Materna (RMM) = (óbitos maternos / nascidos vivos) × 100.000 (anual; e mensal quando consistente).</w:t>
      </w:r>
    </w:p>
    <w:p>
      <w:pPr>
        <w:jc w:val="both"/>
      </w:pPr>
      <w:r>
        <w:rPr>
          <w:b w:val="0"/>
          <w:i w:val="0"/>
        </w:rPr>
        <w:t>• Óbitos maternos por causa específica: hemorragia, transtornos hipertensivos, sepse/infecção, abortamento, causas indiretas (mapa CID‑10).</w:t>
      </w:r>
    </w:p>
    <w:p>
      <w:pPr>
        <w:jc w:val="both"/>
      </w:pPr>
      <w:r>
        <w:rPr>
          <w:b/>
          <w:i w:val="0"/>
        </w:rPr>
        <w:t>Estratificações:</w:t>
      </w:r>
    </w:p>
    <w:p>
      <w:pPr>
        <w:jc w:val="both"/>
      </w:pPr>
      <w:r>
        <w:rPr>
          <w:b w:val="0"/>
          <w:i w:val="0"/>
        </w:rPr>
        <w:t>• UF/Região; raça/cor; idade materna (&lt;20; 20–34; ≥35); escolaridade.</w:t>
      </w:r>
    </w:p>
    <w:p>
      <w:pPr>
        <w:jc w:val="both"/>
      </w:pPr>
      <w:r>
        <w:rPr>
          <w:b/>
          <w:i w:val="0"/>
        </w:rPr>
        <w:t>Períodos de interesse:</w:t>
      </w:r>
    </w:p>
    <w:p>
      <w:pPr>
        <w:jc w:val="both"/>
      </w:pPr>
      <w:r>
        <w:rPr>
          <w:b w:val="0"/>
          <w:i w:val="0"/>
        </w:rPr>
        <w:t>• Pré vs. pós Rede Cegonha (a partir de 2011).</w:t>
      </w:r>
    </w:p>
    <w:p>
      <w:pPr>
        <w:jc w:val="both"/>
      </w:pPr>
      <w:r>
        <w:rPr>
          <w:b w:val="0"/>
          <w:i w:val="0"/>
        </w:rPr>
        <w:t>• Pré‑COVID (até 2019) vs. pandemia (2020–2021) vs. pós‑onda (2022–2024).</w:t>
      </w:r>
    </w:p>
    <w:p>
      <w:pPr>
        <w:pStyle w:val="Heading1"/>
        <w:spacing w:before="240" w:after="120"/>
      </w:pPr>
      <w:r>
        <w:t>7. Plano de análise estatística</w:t>
      </w:r>
    </w:p>
    <w:p>
      <w:pPr>
        <w:pStyle w:val="Heading2"/>
        <w:spacing w:before="160" w:after="80"/>
      </w:pPr>
      <w:r>
        <w:t>7.1 Extração, limpeza e qualidade</w:t>
      </w:r>
    </w:p>
    <w:p>
      <w:pPr>
        <w:jc w:val="both"/>
      </w:pPr>
      <w:r>
        <w:rPr>
          <w:b w:val="0"/>
          <w:i w:val="0"/>
        </w:rPr>
        <w:t>• ETL reprodutível (scripts); verificação de duplicidades e consistência por UF/ano.</w:t>
      </w:r>
    </w:p>
    <w:p>
      <w:pPr>
        <w:jc w:val="both"/>
      </w:pPr>
      <w:r>
        <w:rPr>
          <w:b w:val="0"/>
          <w:i w:val="0"/>
        </w:rPr>
        <w:t>• Avaliar quebras de série por mudanças instrumentais (p.ex., SINASC em 2011), conforme documentação (FIOCRUZ, 2023).</w:t>
      </w:r>
    </w:p>
    <w:p>
      <w:pPr>
        <w:jc w:val="both"/>
      </w:pPr>
      <w:r>
        <w:rPr>
          <w:b w:val="0"/>
          <w:i w:val="0"/>
        </w:rPr>
        <w:t>• Tratar sub‑registro e impactos de códigos mal definidos (garbage) por análises de sensibilidade; considerar O96–O97 como secundário, preservando a definição do indicador oficial (BRASIL, 2025b).</w:t>
      </w:r>
    </w:p>
    <w:p>
      <w:pPr>
        <w:pStyle w:val="Heading2"/>
        <w:spacing w:before="160" w:after="80"/>
      </w:pPr>
      <w:r>
        <w:t>7.2 Descrição e visualização</w:t>
      </w:r>
    </w:p>
    <w:p>
      <w:pPr>
        <w:jc w:val="both"/>
      </w:pPr>
      <w:r>
        <w:rPr>
          <w:b w:val="0"/>
          <w:i w:val="0"/>
        </w:rPr>
        <w:t>• Mapas de calor (UF × ano), séries por estratos, decomposição STL (quando mensal), pequenos múltiplos por UF.</w:t>
      </w:r>
    </w:p>
    <w:p>
      <w:pPr>
        <w:jc w:val="both"/>
      </w:pPr>
      <w:r>
        <w:rPr>
          <w:b w:val="0"/>
          <w:i w:val="0"/>
        </w:rPr>
        <w:t>• Proporções por causa específica ao longo do tempo.</w:t>
      </w:r>
    </w:p>
    <w:p>
      <w:pPr>
        <w:pStyle w:val="Heading2"/>
        <w:spacing w:before="160" w:after="80"/>
      </w:pPr>
      <w:r>
        <w:t>7.3 Tendência temporal (Prais‑Winsten/Joinpoint)</w:t>
      </w:r>
    </w:p>
    <w:p>
      <w:pPr>
        <w:jc w:val="both"/>
      </w:pPr>
      <w:r>
        <w:rPr>
          <w:b w:val="0"/>
          <w:i w:val="0"/>
        </w:rPr>
        <w:t>• Regressão Prais‑Winsten (log‑RMM) com autocorrelação de primeira ordem para estimar APC/AAPC e seus intervalos (BOTTOMLEY et al., 2023).</w:t>
      </w:r>
    </w:p>
    <w:p>
      <w:pPr>
        <w:jc w:val="both"/>
      </w:pPr>
      <w:r>
        <w:rPr>
          <w:b w:val="0"/>
          <w:i w:val="0"/>
        </w:rPr>
        <w:t>• Joinpoint (análise de sensibilidade) para identificar pontos de inflexão e estimar AAPC (NCI, 2024).</w:t>
      </w:r>
    </w:p>
    <w:p>
      <w:pPr>
        <w:pStyle w:val="Heading2"/>
        <w:spacing w:before="160" w:after="80"/>
      </w:pPr>
      <w:r>
        <w:t>7.4 Séries temporais interrompidas (ITS)</w:t>
      </w:r>
    </w:p>
    <w:p>
      <w:pPr>
        <w:jc w:val="both"/>
      </w:pPr>
      <w:r>
        <w:rPr>
          <w:b w:val="0"/>
          <w:i w:val="0"/>
        </w:rPr>
        <w:t>• Modelos segmentados com termos de nível e tendência para: Rede Cegonha (2011+) e COVID‑19 (2020–2021).</w:t>
      </w:r>
    </w:p>
    <w:p>
      <w:pPr>
        <w:jc w:val="both"/>
      </w:pPr>
      <w:r>
        <w:rPr>
          <w:b w:val="0"/>
          <w:i w:val="0"/>
        </w:rPr>
        <w:t>• Erros robustos (Newey‑West) ou especificação Prais‑Winsten conforme a estrutura de autocorrelação (BOTTOMLEY et al., 2023).</w:t>
      </w:r>
    </w:p>
    <w:p>
      <w:pPr>
        <w:pStyle w:val="Heading2"/>
        <w:spacing w:before="160" w:after="80"/>
      </w:pPr>
      <w:r>
        <w:t>7.5 Modelos espaço‑temporais (painel UF–tempo)</w:t>
      </w:r>
    </w:p>
    <w:p>
      <w:pPr>
        <w:jc w:val="both"/>
      </w:pPr>
      <w:r>
        <w:rPr>
          <w:b w:val="0"/>
          <w:i w:val="0"/>
        </w:rPr>
        <w:t>• Painéis com efeitos fixos de UF e de ano (ou efeitos aleatórios com teste de Hausman), erros agrupados por UF.</w:t>
      </w:r>
    </w:p>
    <w:p>
      <w:pPr>
        <w:jc w:val="both"/>
      </w:pPr>
      <w:r>
        <w:rPr>
          <w:b w:val="0"/>
          <w:i w:val="0"/>
        </w:rPr>
        <w:t>• Gradientes por raça/cor, idade e escolaridade; interação tempo × região/UF.</w:t>
      </w:r>
    </w:p>
    <w:p>
      <w:pPr>
        <w:pStyle w:val="Heading2"/>
        <w:spacing w:before="160" w:after="80"/>
      </w:pPr>
      <w:r>
        <w:t>7.6 Exercícios exploratórios de previsão (1–3 anos)</w:t>
      </w:r>
    </w:p>
    <w:p>
      <w:pPr>
        <w:jc w:val="both"/>
      </w:pPr>
      <w:r>
        <w:rPr>
          <w:b w:val="0"/>
          <w:i w:val="0"/>
        </w:rPr>
        <w:t>• ETS/ARIMA/SARIMA para o sinal de tendência global e por UF, com validação por janelas temporais (time‑series cross‑validation).</w:t>
      </w:r>
    </w:p>
    <w:p>
      <w:pPr>
        <w:jc w:val="both"/>
      </w:pPr>
      <w:r>
        <w:rPr>
          <w:b w:val="0"/>
          <w:i w:val="0"/>
        </w:rPr>
        <w:t>• GAM com suavizadores de tempo e dummies de choques. As projeções terão intervalos de incerteza ampliados e serão comunicadas como exercícios exploratórios, não como predições estruturais do sistema de saúde.</w:t>
      </w:r>
    </w:p>
    <w:p>
      <w:pPr>
        <w:pStyle w:val="Heading2"/>
        <w:spacing w:before="160" w:after="80"/>
      </w:pPr>
      <w:r>
        <w:t>7.7 Análises de sensibilidade</w:t>
      </w:r>
    </w:p>
    <w:p>
      <w:pPr>
        <w:jc w:val="both"/>
      </w:pPr>
      <w:r>
        <w:rPr>
          <w:b w:val="0"/>
          <w:i w:val="0"/>
        </w:rPr>
        <w:t>• Inclusão de covariáveis do sistema (quando disponíveis) e contraste com modelos inerciais; definições alternativas de RMM (mensal vs. anual; inclusão de O96–O97), verificando robustez.</w:t>
      </w:r>
    </w:p>
    <w:p>
      <w:pPr>
        <w:pStyle w:val="Heading1"/>
        <w:spacing w:before="240" w:after="120"/>
      </w:pPr>
      <w:r>
        <w:t>8. Tamanho amostral e poder</w:t>
      </w:r>
    </w:p>
    <w:p>
      <w:pPr>
        <w:jc w:val="both"/>
      </w:pPr>
      <w:r>
        <w:rPr>
          <w:b w:val="0"/>
          <w:i w:val="0"/>
        </w:rPr>
        <w:t>Não aplicável no sentido clássico. A precisão das estimativas por UF/ano será avaliada pelos intervalos e pela estabilidade das taxas; quando houver instabilidade por pequenos números, pode‑se aplicar suavização empírica bayesiana como análise opcional.</w:t>
      </w:r>
    </w:p>
    <w:p>
      <w:pPr>
        <w:pStyle w:val="Heading1"/>
        <w:spacing w:before="240" w:after="120"/>
      </w:pPr>
      <w:r>
        <w:t>9. Considerações éticas</w:t>
      </w:r>
    </w:p>
    <w:p>
      <w:pPr>
        <w:jc w:val="both"/>
      </w:pPr>
      <w:r>
        <w:rPr>
          <w:b w:val="0"/>
          <w:i w:val="0"/>
        </w:rPr>
        <w:t>Serão utilizados dados públicos e agregados (SIM/SINASC), sem identificação nominal. Não há riscos individuais. Recomenda‑se o registro do protocolo (ex.: OSF) e a publicação aberta do código de reprodutibilidade.</w:t>
      </w:r>
    </w:p>
    <w:p>
      <w:pPr>
        <w:pStyle w:val="Heading1"/>
        <w:spacing w:before="240" w:after="120"/>
      </w:pPr>
      <w:r>
        <w:t>10. Limitações</w:t>
      </w:r>
    </w:p>
    <w:p>
      <w:pPr>
        <w:jc w:val="both"/>
      </w:pPr>
      <w:r>
        <w:rPr>
          <w:b w:val="0"/>
          <w:i w:val="0"/>
        </w:rPr>
        <w:t>• Sub‑registro e variações de qualidade entre UF/anos; mudanças de instrumento (p.ex., SINASC 2011).</w:t>
      </w:r>
    </w:p>
    <w:p>
      <w:pPr>
        <w:jc w:val="both"/>
      </w:pPr>
      <w:r>
        <w:rPr>
          <w:b w:val="0"/>
          <w:i w:val="0"/>
        </w:rPr>
        <w:t>• Classificação e cobertura de causas (CID‑10) e potenciais códigos mal definidos (garbage).</w:t>
      </w:r>
    </w:p>
    <w:p>
      <w:pPr>
        <w:jc w:val="both"/>
      </w:pPr>
      <w:r>
        <w:rPr>
          <w:b w:val="0"/>
          <w:i w:val="0"/>
        </w:rPr>
        <w:t>• Forecasts são limitados e não incorporam mudanças futuras de política/financiamento; servem apenas como exploração.</w:t>
      </w:r>
    </w:p>
    <w:p>
      <w:pPr>
        <w:pStyle w:val="Heading1"/>
        <w:spacing w:before="240" w:after="120"/>
      </w:pPr>
      <w:r>
        <w:t>11. Produtos e transparência</w:t>
      </w:r>
    </w:p>
    <w:p>
      <w:pPr>
        <w:jc w:val="both"/>
      </w:pPr>
      <w:r>
        <w:rPr>
          <w:b w:val="0"/>
          <w:i w:val="0"/>
        </w:rPr>
        <w:t>• Repositório público com scripts (ETL, análise, figuras, tabelas).</w:t>
      </w:r>
    </w:p>
    <w:p>
      <w:pPr>
        <w:jc w:val="both"/>
      </w:pPr>
      <w:r>
        <w:rPr>
          <w:b w:val="0"/>
          <w:i w:val="0"/>
        </w:rPr>
        <w:t>• Relatório técnico e preprint.</w:t>
      </w:r>
    </w:p>
    <w:p>
      <w:pPr>
        <w:jc w:val="both"/>
      </w:pPr>
      <w:r>
        <w:rPr>
          <w:b w:val="0"/>
          <w:i w:val="0"/>
        </w:rPr>
        <w:t>• Painel interativo (Shiny/Quarto) com séries e mapas.</w:t>
      </w:r>
    </w:p>
    <w:p>
      <w:pPr>
        <w:pStyle w:val="Heading1"/>
        <w:spacing w:before="240" w:after="120"/>
      </w:pPr>
      <w:r>
        <w:t>12. Cronograma (sugestão)</w:t>
      </w:r>
    </w:p>
    <w:p>
      <w:pPr>
        <w:jc w:val="both"/>
      </w:pPr>
      <w:r>
        <w:rPr>
          <w:b w:val="0"/>
          <w:i w:val="0"/>
        </w:rPr>
        <w:t>Mês 1: ETL e dicionário de dados; checagens de qualidade.</w:t>
      </w:r>
    </w:p>
    <w:p>
      <w:pPr>
        <w:jc w:val="both"/>
      </w:pPr>
      <w:r>
        <w:rPr>
          <w:b w:val="0"/>
          <w:i w:val="0"/>
        </w:rPr>
        <w:t>Mês 2: Descritivas, mapas, tendências (Prais‑Winsten/Joinpoint).</w:t>
      </w:r>
    </w:p>
    <w:p>
      <w:pPr>
        <w:jc w:val="both"/>
      </w:pPr>
      <w:r>
        <w:rPr>
          <w:b w:val="0"/>
          <w:i w:val="0"/>
        </w:rPr>
        <w:t>Mês 3: ITS (Rede Cegonha; COVID); painel UF–tempo.</w:t>
      </w:r>
    </w:p>
    <w:p>
      <w:pPr>
        <w:jc w:val="both"/>
      </w:pPr>
      <w:r>
        <w:rPr>
          <w:b w:val="0"/>
          <w:i w:val="0"/>
        </w:rPr>
        <w:t>Mês 4: Forecast exploratório; sensibilidades; rascunho de manuscrito.</w:t>
      </w:r>
    </w:p>
    <w:p>
      <w:pPr>
        <w:pStyle w:val="Heading1"/>
        <w:spacing w:before="240" w:after="120"/>
      </w:pPr>
      <w:r>
        <w:t>Referências</w:t>
      </w:r>
    </w:p>
    <w:p>
      <w:pPr>
        <w:spacing w:after="40"/>
      </w:pPr>
      <w:r>
        <w:t>BASE DOS DADOS. SINASC – Nascidos vivos (dataset público). São Paulo: Fundação Base dos Dados, 2024. Disponível em: https://basedosdados.org/. Acesso em: 29 set. 2025.</w:t>
      </w:r>
    </w:p>
    <w:p>
      <w:pPr>
        <w:spacing w:after="40"/>
      </w:pPr>
      <w:r>
        <w:t>BOTTOMLEY, C. et al. In praise of Prais‑Winsten: evaluation of methods for (interrupted) time series. 2023. (manuscrito/metodologia).</w:t>
      </w:r>
    </w:p>
    <w:p>
      <w:pPr>
        <w:spacing w:after="40"/>
      </w:pPr>
      <w:r>
        <w:t>BRASIL. Ministério da Saúde. Portaria GM/MS nº 1.459, de 24 de junho de 2011. Institui, no âmbito do SUS, a Rede Cegonha. Diário Oficial da União, Brasília, DF, 27 jun. 2011.</w:t>
      </w:r>
    </w:p>
    <w:p>
      <w:pPr>
        <w:spacing w:after="40"/>
      </w:pPr>
      <w:r>
        <w:t>BRASIL. Ministério da Saúde. SVSA/DAENT. Painel de Monitoramento da Mortalidade Materna. Brasília, 2025a. Disponível em: https://svs.aids.gov.br/daent/centrais-de-conteudos/paineis-de-monitoramento/mortalidade/materna/. Acesso em: 29 set. 2025.</w:t>
      </w:r>
    </w:p>
    <w:p>
      <w:pPr>
        <w:spacing w:after="40"/>
      </w:pPr>
      <w:r>
        <w:t>BRASIL. Ministério da Saúde. DATASUS. Indicadores de Saúde – Razão de Mortalidade Materna (definição e escopo CID‑10). Brasília, 2025b. Disponível em: https://datasus.saude.gov.br/. Acesso em: 29 set. 2025.</w:t>
      </w:r>
    </w:p>
    <w:p>
      <w:pPr>
        <w:spacing w:after="40"/>
      </w:pPr>
      <w:r>
        <w:t>FIOCRUZ. Programa de Computação Científica (PCDaS). Documentação ETL do SINASC. Rio de Janeiro: Fiocruz, 2023. Disponível em: https://pcdas.icict.fiocruz.br/. Acesso em: 29 set. 2025.</w:t>
      </w:r>
    </w:p>
    <w:p>
      <w:pPr>
        <w:spacing w:after="40"/>
      </w:pPr>
      <w:r>
        <w:t>GUIMARÃES, R. M. et al. COVID‑19 challenges Brazil to comply with Agenda 2030 maternal targets. The Lancet Regional Health – Americas, 2023.</w:t>
      </w:r>
    </w:p>
    <w:p>
      <w:pPr>
        <w:spacing w:after="40"/>
      </w:pPr>
      <w:r>
        <w:t>NCI. Joinpoint Regression Program. National Cancer Institute, 2024. Disponível em: https://surveillance.cancer.gov/joinpoint/. Acesso em: 29 set. 2025.</w:t>
      </w:r>
    </w:p>
    <w:p>
      <w:pPr>
        <w:spacing w:after="40"/>
      </w:pPr>
      <w:r>
        <w:t>SIQUEIRA, T. S. et al. Spatial clusters, social determinants and risk of maternal deaths in Brazil during COVID‑19. The Lancet Regional Health – Americas, 2021.</w:t>
      </w:r>
    </w:p>
    <w:p>
      <w:pPr>
        <w:spacing w:after="40"/>
      </w:pPr>
      <w:r>
        <w:t>WHO; UNICEF; UNFPA; WORLD BANK; UNDESA/POP. Trends in maternal mortality: 2000–2020. Geneva: World Health Organization,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