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7BD5" w14:textId="27BA1217" w:rsidR="00C42705" w:rsidRPr="00C42705" w:rsidRDefault="00C42705" w:rsidP="00C427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</w:pPr>
      <w:r w:rsidRPr="00C42705">
        <w:rPr>
          <w:b/>
          <w:bCs/>
          <w:lang w:val="pt-BR"/>
        </w:rPr>
        <w:t>Tendências e determinantes da mortalidade materna no Brasil: análise espaço-temporal, séries interrompidas.</w:t>
      </w:r>
    </w:p>
    <w:p w14:paraId="33350B29" w14:textId="77777777" w:rsidR="00C42705" w:rsidRDefault="00C42705" w:rsidP="00C427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</w:p>
    <w:p w14:paraId="3D5306D6" w14:textId="42EA57BF" w:rsidR="00877466" w:rsidRPr="00877466" w:rsidRDefault="00C42705" w:rsidP="00C427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V</w:t>
      </w:r>
      <w:r w:rsidR="00877466"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ariáveis/covariáveis mais usadas na literatura para tendência e previsão de mortalidade materna no Brasil e no mundo. </w:t>
      </w:r>
    </w:p>
    <w:p w14:paraId="353A0607" w14:textId="77777777" w:rsidR="00877466" w:rsidRPr="00877466" w:rsidRDefault="00877466" w:rsidP="00C427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1) Sistema de saúde / oferta e qualidade do cuidado</w:t>
      </w:r>
    </w:p>
    <w:p w14:paraId="0E05FC8F" w14:textId="77777777" w:rsidR="00877466" w:rsidRPr="00877466" w:rsidRDefault="00877466" w:rsidP="00C42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Cobertura de pré-natal (início precoce; ≥7 consultas; adequação)</w:t>
      </w:r>
    </w:p>
    <w:p w14:paraId="794D5E96" w14:textId="77777777" w:rsidR="00877466" w:rsidRPr="00877466" w:rsidRDefault="00877466" w:rsidP="00C42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Taxa de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cesáreas</w:t>
      </w:r>
      <w:proofErr w:type="spellEnd"/>
    </w:p>
    <w:p w14:paraId="28329109" w14:textId="77777777" w:rsidR="00877466" w:rsidRPr="00877466" w:rsidRDefault="00877466" w:rsidP="00C42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Atenção primária/ESF; cobertura de AB</w:t>
      </w:r>
    </w:p>
    <w:p w14:paraId="36F2D95E" w14:textId="51013A27" w:rsidR="00877466" w:rsidRPr="00877466" w:rsidRDefault="00877466" w:rsidP="00C42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Disponibilidade de UTI materna</w:t>
      </w:r>
    </w:p>
    <w:p w14:paraId="1D89AF7C" w14:textId="77777777" w:rsidR="00877466" w:rsidRPr="00877466" w:rsidRDefault="00877466" w:rsidP="00C42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Rede Cegonha (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dummies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de implementação; intensidade)</w:t>
      </w:r>
    </w:p>
    <w:p w14:paraId="7F936C51" w14:textId="77777777" w:rsidR="00C42705" w:rsidRPr="00C42705" w:rsidRDefault="00877466" w:rsidP="00C42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Internações por causas obstétricas/complicações</w:t>
      </w:r>
    </w:p>
    <w:p w14:paraId="461DF4B3" w14:textId="66317097" w:rsidR="00877466" w:rsidRPr="00877466" w:rsidRDefault="00877466" w:rsidP="00C42705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Fontes:</w:t>
      </w: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análises de tendência (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Prais-Winsten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) de mortalidade materna tardia no Brasil 2010–2019; estudos estaduais (SP, PR) que conectam tendência a indicadores do sistema; trabalhos sobre Rede Cegonha e qualidade do pré-natal. </w:t>
      </w:r>
      <w:hyperlink r:id="rId5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BR" w:eastAsia="en-GB"/>
            <w14:ligatures w14:val="none"/>
          </w:rPr>
          <w:t>sbe.org.br+5PubMed+5Sc</w:t>
        </w:r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BR" w:eastAsia="en-GB"/>
            <w14:ligatures w14:val="none"/>
          </w:rPr>
          <w:t>i</w:t>
        </w:r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BR" w:eastAsia="en-GB"/>
            <w14:ligatures w14:val="none"/>
          </w:rPr>
          <w:t>ELO+5</w:t>
        </w:r>
      </w:hyperlink>
    </w:p>
    <w:p w14:paraId="064149E7" w14:textId="77777777" w:rsidR="00877466" w:rsidRPr="00877466" w:rsidRDefault="00877466" w:rsidP="00C427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2) Perfil demográfico e social</w:t>
      </w:r>
    </w:p>
    <w:p w14:paraId="11BCD25A" w14:textId="77777777" w:rsidR="00877466" w:rsidRPr="00877466" w:rsidRDefault="00877466" w:rsidP="00C42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Idade materna (especialmente &lt;20 e ≥35 anos)</w:t>
      </w:r>
    </w:p>
    <w:p w14:paraId="13DE795A" w14:textId="77777777" w:rsidR="00877466" w:rsidRPr="00877466" w:rsidRDefault="00877466" w:rsidP="00C42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Escolaridade</w:t>
      </w:r>
      <w:proofErr w:type="spellEnd"/>
    </w:p>
    <w:p w14:paraId="58E21D14" w14:textId="77777777" w:rsidR="00877466" w:rsidRPr="00877466" w:rsidRDefault="00877466" w:rsidP="00C42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Raça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</w:t>
      </w:r>
      <w:proofErr w:type="spellEnd"/>
    </w:p>
    <w:p w14:paraId="7582689F" w14:textId="77777777" w:rsidR="00877466" w:rsidRPr="00877466" w:rsidRDefault="00877466" w:rsidP="00C42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Urbanização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urbano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/rural);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região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/UF</w:t>
      </w:r>
    </w:p>
    <w:p w14:paraId="54918E36" w14:textId="77777777" w:rsidR="00C42705" w:rsidRPr="00C42705" w:rsidRDefault="00877466" w:rsidP="00C42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Indicadores socioeconômicos (p.ex., renda, pobreza, HDI/IVS quando municipalizados)</w:t>
      </w:r>
    </w:p>
    <w:p w14:paraId="26F48C3B" w14:textId="29B85FD0" w:rsidR="00877466" w:rsidRPr="00877466" w:rsidRDefault="00877466" w:rsidP="00C42705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Fontes: análises espaço-temporais com indicadores socioeconômicos; estudos estaduais; recortes por subgrupos (). </w:t>
      </w:r>
      <w:hyperlink r:id="rId6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BR" w:eastAsia="en-GB"/>
            <w14:ligatures w14:val="none"/>
          </w:rPr>
          <w:t>SciELO+2scielosp.org+2</w:t>
        </w:r>
      </w:hyperlink>
    </w:p>
    <w:p w14:paraId="0EB47FA4" w14:textId="77777777" w:rsidR="00877466" w:rsidRPr="00877466" w:rsidRDefault="00877466" w:rsidP="00C427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3) Causa/espectro clínico (para análise causa-específica)</w:t>
      </w:r>
    </w:p>
    <w:p w14:paraId="3D915FA4" w14:textId="77777777" w:rsidR="00877466" w:rsidRPr="00877466" w:rsidRDefault="00877466" w:rsidP="00C42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Hemorragia</w:t>
      </w:r>
      <w:proofErr w:type="spellEnd"/>
    </w:p>
    <w:p w14:paraId="0D0EDEBD" w14:textId="77777777" w:rsidR="00877466" w:rsidRPr="00877466" w:rsidRDefault="00877466" w:rsidP="00C42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Transtornos hipertensivos (pré-eclâmpsia/eclâmpsia)</w:t>
      </w:r>
    </w:p>
    <w:p w14:paraId="0E83A911" w14:textId="77777777" w:rsidR="00877466" w:rsidRPr="00877466" w:rsidRDefault="00877466" w:rsidP="00C42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Sepse/infecção</w:t>
      </w:r>
    </w:p>
    <w:p w14:paraId="6BF9B1B0" w14:textId="77777777" w:rsidR="00877466" w:rsidRPr="00877466" w:rsidRDefault="00877466" w:rsidP="00C42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Abortamento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inseguro</w:t>
      </w:r>
      <w:proofErr w:type="spellEnd"/>
    </w:p>
    <w:p w14:paraId="00519B2F" w14:textId="77777777" w:rsidR="00C42705" w:rsidRDefault="00877466" w:rsidP="00C42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Causas indiretas (cardiovasculares, metabólicas, respiratórias etc.</w:t>
      </w:r>
    </w:p>
    <w:p w14:paraId="652295D6" w14:textId="32BFBA0F" w:rsidR="00877466" w:rsidRPr="00877466" w:rsidRDefault="00877466" w:rsidP="00C42705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Fontes: sínteses e relatórios que descrevem a composição por causas e mudança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pós-COVID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. </w:t>
      </w:r>
      <w:hyperlink r:id="rId7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BR" w:eastAsia="en-GB"/>
            <w14:ligatures w14:val="none"/>
          </w:rPr>
          <w:t>The Guardian+1</w:t>
        </w:r>
      </w:hyperlink>
    </w:p>
    <w:p w14:paraId="7ADB17F8" w14:textId="77777777" w:rsidR="00877466" w:rsidRPr="00877466" w:rsidRDefault="00877466" w:rsidP="00C427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4) Choques e políticas (efeitos estruturais/temporais)</w:t>
      </w:r>
    </w:p>
    <w:p w14:paraId="42336E25" w14:textId="77777777" w:rsidR="00877466" w:rsidRPr="00877466" w:rsidRDefault="00877466" w:rsidP="00C427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COVID-19 (onda, incidência/letalidade, saturação do sistema)</w:t>
      </w:r>
    </w:p>
    <w:p w14:paraId="4A154E3E" w14:textId="77777777" w:rsidR="00877466" w:rsidRPr="00877466" w:rsidRDefault="00877466" w:rsidP="00C427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Vacinação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COVID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gestantes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puérperas</w:t>
      </w:r>
      <w:proofErr w:type="spellEnd"/>
    </w:p>
    <w:p w14:paraId="56CC89A5" w14:textId="77777777" w:rsidR="00C42705" w:rsidRDefault="00877466" w:rsidP="00C427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lastRenderedPageBreak/>
        <w:t>Mudanças de política/financiamento (ex.: implantação Rede Cegonha; variações orçamentárias)</w:t>
      </w:r>
    </w:p>
    <w:p w14:paraId="53D9676E" w14:textId="378A7C3A" w:rsidR="00877466" w:rsidRPr="00877466" w:rsidRDefault="00877466" w:rsidP="00C42705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Cortes de ajuda/financiamento internacional (para comparações globais)</w:t>
      </w: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Fontes: impacto da pandemia no Brasil (2020–2023); estudos globais/alertas OMS/ONU; casos e análises qualitativas. </w:t>
      </w:r>
      <w:hyperlink r:id="rId8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BR" w:eastAsia="en-GB"/>
            <w14:ligatures w14:val="none"/>
          </w:rPr>
          <w:t>The Guardian+4BioMed Central+4PMC+4</w:t>
        </w:r>
      </w:hyperlink>
    </w:p>
    <w:p w14:paraId="5661C0B9" w14:textId="77777777" w:rsidR="00877466" w:rsidRPr="00877466" w:rsidRDefault="00877466" w:rsidP="00C427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5) Modelos e covariáveis em exercícios de projeção</w:t>
      </w:r>
    </w:p>
    <w:p w14:paraId="7F2B6A45" w14:textId="77777777" w:rsidR="00877466" w:rsidRPr="00877466" w:rsidRDefault="00877466" w:rsidP="00C427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Abordagens descritivas/de tendência: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Prais-Winsten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;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Joinpoint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; séries anuais por região/UF</w:t>
      </w:r>
    </w:p>
    <w:p w14:paraId="3F98DCF1" w14:textId="77777777" w:rsidR="00877466" w:rsidRPr="00877466" w:rsidRDefault="00877466" w:rsidP="00C427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Séries temporais (ARIMA/SARIMA, ETS, GAM) — com ressalvas (não capturam bem choques/políticas)</w:t>
      </w:r>
    </w:p>
    <w:p w14:paraId="6660D766" w14:textId="77777777" w:rsidR="00877466" w:rsidRPr="00877466" w:rsidRDefault="00877466" w:rsidP="00C427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Projeções/estratificações por urbano/rural e tipologias de país (para incorporar contexto estrutural)</w:t>
      </w:r>
    </w:p>
    <w:p w14:paraId="2C3459B2" w14:textId="77777777" w:rsidR="00877466" w:rsidRPr="00877466" w:rsidRDefault="00877466" w:rsidP="00C427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Covariáveis macro em frameworks globais (p.ex., urbanização, indicadores de sistema de saúde, demografia)</w:t>
      </w: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Fontes: Brasil (tendências 2010–2019; espaço-tempo 2010–2020); global (tipologias e projeções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urban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/rural). </w:t>
      </w:r>
      <w:hyperlink r:id="rId9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PMC+4P</w:t>
        </w:r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</w:t>
        </w:r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bMed+4SciELO+4</w:t>
        </w:r>
      </w:hyperlink>
    </w:p>
    <w:p w14:paraId="6F61BBE1" w14:textId="4D1C26C9" w:rsidR="00877466" w:rsidRPr="00877466" w:rsidRDefault="00877466" w:rsidP="00C427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71AC1D" w14:textId="77777777" w:rsidR="00877466" w:rsidRPr="00877466" w:rsidRDefault="00877466" w:rsidP="00C4270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pt-BR"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sz w:val="36"/>
          <w:szCs w:val="36"/>
          <w:lang w:val="pt-BR" w:eastAsia="en-GB"/>
          <w14:ligatures w14:val="none"/>
        </w:rPr>
        <w:t>Mini-checklist</w:t>
      </w:r>
      <w:proofErr w:type="spellEnd"/>
      <w:r w:rsidRPr="00877466">
        <w:rPr>
          <w:rFonts w:ascii="Times New Roman" w:eastAsia="Times New Roman" w:hAnsi="Times New Roman" w:cs="Times New Roman"/>
          <w:kern w:val="0"/>
          <w:sz w:val="36"/>
          <w:szCs w:val="36"/>
          <w:lang w:val="pt-BR" w:eastAsia="en-GB"/>
          <w14:ligatures w14:val="none"/>
        </w:rPr>
        <w:t xml:space="preserve"> prático (para nosso banco analítico)</w:t>
      </w:r>
    </w:p>
    <w:p w14:paraId="0AE4944D" w14:textId="77777777" w:rsidR="00877466" w:rsidRPr="00877466" w:rsidRDefault="00877466" w:rsidP="00C427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Desfecho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(s):</w:t>
      </w:r>
    </w:p>
    <w:p w14:paraId="7E1A178C" w14:textId="77777777" w:rsidR="00877466" w:rsidRPr="00877466" w:rsidRDefault="00877466" w:rsidP="00C427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Razão de mortalidade materna (RMM) anual (Brasil/UF/município)</w:t>
      </w:r>
    </w:p>
    <w:p w14:paraId="4A06644C" w14:textId="77777777" w:rsidR="00877466" w:rsidRPr="00877466" w:rsidRDefault="00877466" w:rsidP="00C427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Se possível: RMM por causa específica (CID-10 diretas vs. indiretas)</w:t>
      </w:r>
    </w:p>
    <w:p w14:paraId="72429CFC" w14:textId="77777777" w:rsidR="00877466" w:rsidRPr="00877466" w:rsidRDefault="00877466" w:rsidP="00C427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Denominador: nascidos vivos (mesmo recorte geográfico/temporal)</w:t>
      </w:r>
    </w:p>
    <w:p w14:paraId="008D668A" w14:textId="77777777" w:rsidR="00877466" w:rsidRPr="00877466" w:rsidRDefault="00877466" w:rsidP="00C427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Covariáveis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prioritárias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BA35A54" w14:textId="77777777" w:rsidR="00877466" w:rsidRPr="00877466" w:rsidRDefault="00877466" w:rsidP="00C4270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Pré-natal (início/adequação/≥7 consultas), parto hospitalar, profissional qualificado, cesáreas, ESF/AB</w:t>
      </w:r>
    </w:p>
    <w:p w14:paraId="54CD2A13" w14:textId="77777777" w:rsidR="00877466" w:rsidRPr="00877466" w:rsidRDefault="00877466" w:rsidP="00C4270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Idade materna, escolaridade, raça/cor, urbano/rural, região/UF</w:t>
      </w:r>
    </w:p>
    <w:p w14:paraId="5DD3ECDF" w14:textId="77777777" w:rsidR="00877466" w:rsidRPr="00877466" w:rsidRDefault="00877466" w:rsidP="00C4270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Indicadores socioeconômicos (HDI/IVS ou proxies), leitos/UTI obstétrica</w:t>
      </w:r>
    </w:p>
    <w:p w14:paraId="26331C47" w14:textId="77777777" w:rsidR="00877466" w:rsidRPr="00877466" w:rsidRDefault="00877466" w:rsidP="00C4270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Dummies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de Rede Cegonha (implantação/ano), COVID (ondas; vacinação de gestantes)</w:t>
      </w:r>
    </w:p>
    <w:p w14:paraId="11D08D89" w14:textId="77777777" w:rsidR="00877466" w:rsidRPr="00877466" w:rsidRDefault="00877466" w:rsidP="00C4270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Estratégia de modelagem sugerida (com sua ressalva em mente):</w:t>
      </w:r>
    </w:p>
    <w:p w14:paraId="08D28E06" w14:textId="77777777" w:rsidR="00877466" w:rsidRPr="00877466" w:rsidRDefault="00877466" w:rsidP="00C4270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Análise de tendência (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Prais-Winsten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/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joinpoint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) + decomposição da série</w:t>
      </w:r>
    </w:p>
    <w:p w14:paraId="109F3A13" w14:textId="77777777" w:rsidR="00877466" w:rsidRPr="00877466" w:rsidRDefault="00877466" w:rsidP="00C4270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Forecast curto e exploratório (1–3 anos), só como cenário inercial</w:t>
      </w:r>
    </w:p>
    <w:p w14:paraId="47839FBA" w14:textId="77777777" w:rsidR="00877466" w:rsidRPr="00877466" w:rsidRDefault="00877466" w:rsidP="00C4270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Modelos explicativos com covariáveis (GAM/GLS; painéis com efeitos fixos por UF/ano)</w:t>
      </w:r>
    </w:p>
    <w:p w14:paraId="1F937E96" w14:textId="77777777" w:rsidR="00877466" w:rsidRPr="00877466" w:rsidRDefault="00877466" w:rsidP="00C4270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Cenários contrafactuais: sem/pós-Rede Cegonha; com/sem choque COVID</w:t>
      </w:r>
    </w:p>
    <w:p w14:paraId="78F177E8" w14:textId="77777777" w:rsidR="009D6E14" w:rsidRPr="00C42705" w:rsidRDefault="009D6E14"/>
    <w:sectPr w:rsidR="009D6E14" w:rsidRPr="00C42705" w:rsidSect="00260A8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2A9"/>
    <w:multiLevelType w:val="multilevel"/>
    <w:tmpl w:val="575E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86E97"/>
    <w:multiLevelType w:val="multilevel"/>
    <w:tmpl w:val="F0F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C49D7"/>
    <w:multiLevelType w:val="multilevel"/>
    <w:tmpl w:val="269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0E66"/>
    <w:multiLevelType w:val="multilevel"/>
    <w:tmpl w:val="335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35384"/>
    <w:multiLevelType w:val="multilevel"/>
    <w:tmpl w:val="66C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509A8"/>
    <w:multiLevelType w:val="multilevel"/>
    <w:tmpl w:val="5EB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66A9D"/>
    <w:multiLevelType w:val="multilevel"/>
    <w:tmpl w:val="D43E0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F6EC4"/>
    <w:multiLevelType w:val="multilevel"/>
    <w:tmpl w:val="59A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84D95"/>
    <w:multiLevelType w:val="multilevel"/>
    <w:tmpl w:val="1E0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B655A"/>
    <w:multiLevelType w:val="multilevel"/>
    <w:tmpl w:val="085AA4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0615E8"/>
    <w:multiLevelType w:val="multilevel"/>
    <w:tmpl w:val="17E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85074">
    <w:abstractNumId w:val="7"/>
  </w:num>
  <w:num w:numId="2" w16cid:durableId="1914702022">
    <w:abstractNumId w:val="1"/>
  </w:num>
  <w:num w:numId="3" w16cid:durableId="425006694">
    <w:abstractNumId w:val="5"/>
  </w:num>
  <w:num w:numId="4" w16cid:durableId="14502620">
    <w:abstractNumId w:val="10"/>
  </w:num>
  <w:num w:numId="5" w16cid:durableId="1109423381">
    <w:abstractNumId w:val="3"/>
  </w:num>
  <w:num w:numId="6" w16cid:durableId="870456963">
    <w:abstractNumId w:val="0"/>
  </w:num>
  <w:num w:numId="7" w16cid:durableId="169804377">
    <w:abstractNumId w:val="4"/>
  </w:num>
  <w:num w:numId="8" w16cid:durableId="6762168">
    <w:abstractNumId w:val="6"/>
  </w:num>
  <w:num w:numId="9" w16cid:durableId="1909921756">
    <w:abstractNumId w:val="2"/>
  </w:num>
  <w:num w:numId="10" w16cid:durableId="522523728">
    <w:abstractNumId w:val="9"/>
  </w:num>
  <w:num w:numId="11" w16cid:durableId="1683166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66"/>
    <w:rsid w:val="00240A56"/>
    <w:rsid w:val="00260A85"/>
    <w:rsid w:val="002A2F8D"/>
    <w:rsid w:val="00877466"/>
    <w:rsid w:val="009D6E14"/>
    <w:rsid w:val="00C4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9D0E"/>
  <w15:chartTrackingRefBased/>
  <w15:docId w15:val="{4305AB81-6531-B143-BBF7-45E14FAD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77466"/>
    <w:rPr>
      <w:b/>
      <w:bCs/>
    </w:rPr>
  </w:style>
  <w:style w:type="character" w:customStyle="1" w:styleId="ms-1">
    <w:name w:val="ms-1"/>
    <w:basedOn w:val="DefaultParagraphFont"/>
    <w:rsid w:val="00877466"/>
  </w:style>
  <w:style w:type="character" w:customStyle="1" w:styleId="max-w-15ch">
    <w:name w:val="max-w-[15ch]"/>
    <w:basedOn w:val="DefaultParagraphFont"/>
    <w:rsid w:val="00877466"/>
  </w:style>
  <w:style w:type="character" w:customStyle="1" w:styleId="-me-1">
    <w:name w:val="-me-1"/>
    <w:basedOn w:val="DefaultParagraphFont"/>
    <w:rsid w:val="00877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mcpublichealth.biomedcentral.com/articles/10.1186/s12889-025-23219-9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guardian.com/global-development/2025/apr/06/aid-cuts-pandemic-like-effects-maternal-deaths-childbirth-haemorrhage-pre-eclampsia-malaria-who-warn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lo.br/j/csc/a/79GdN5XdfvvQdFNPPGxkzgn/?lang=en&amp;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ubmed.ncbi.nlm.nih.gov/39194090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9194090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Audencio Victor</dc:creator>
  <cp:keywords/>
  <dc:description/>
  <cp:lastModifiedBy>Audencio Victor</cp:lastModifiedBy>
  <cp:revision>2</cp:revision>
  <dcterms:created xsi:type="dcterms:W3CDTF">2025-09-29T12:31:00Z</dcterms:created>
  <dcterms:modified xsi:type="dcterms:W3CDTF">2025-09-29T12:31:00Z</dcterms:modified>
</cp:coreProperties>
</file>