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RESEARCH ARTICLE</w:t>
      </w:r>
    </w:p>
    <w:p/>
    <w:p>
      <w:pPr>
        <w:jc w:val="center"/>
      </w:pPr>
      <w:r>
        <w:rPr>
          <w:rFonts w:ascii="Times New Roman" w:hAnsi="Times New Roman"/>
          <w:b/>
          <w:sz w:val="32"/>
        </w:rPr>
        <w:t>Association between maternal vitamin D levels in pregnancy and fetal growth and adiposity: a systematic review and meta-analysis</w:t>
      </w:r>
    </w:p>
    <w:p/>
    <w:p>
      <w:pPr>
        <w:jc w:val="center"/>
      </w:pPr>
      <w:r>
        <w:rPr>
          <w:rFonts w:ascii="Times New Roman" w:hAnsi="Times New Roman"/>
          <w:b w:val="0"/>
          <w:i w:val="0"/>
          <w:sz w:val="24"/>
        </w:rPr>
        <w:t>Isabel O. Almeida, Audencio Victor</w:t>
      </w:r>
    </w:p>
    <w:p/>
    <w:p>
      <w:pPr>
        <w:jc w:val="center"/>
      </w:pPr>
      <w:r>
        <w:rPr>
          <w:rFonts w:ascii="Times New Roman" w:hAnsi="Times New Roman"/>
          <w:b w:val="0"/>
          <w:i/>
          <w:sz w:val="22"/>
        </w:rPr>
        <w:t>Corresponding author: Audencio Victor (audenciovictor@gmail.com)</w:t>
      </w:r>
    </w:p>
    <w:p/>
    <w:p>
      <w:pPr>
        <w:jc w:val="center"/>
      </w:pPr>
      <w:r>
        <w:rPr>
          <w:rFonts w:ascii="Times New Roman" w:hAnsi="Times New Roman"/>
          <w:b w:val="0"/>
          <w:i/>
          <w:sz w:val="22"/>
        </w:rPr>
        <w:t>PROSPERO registration: CRD42024590338</w:t>
      </w:r>
    </w:p>
    <w:p>
      <w:r>
        <w:br w:type="page"/>
      </w:r>
    </w:p>
    <w:p>
      <w:pPr>
        <w:pStyle w:val="Heading1"/>
      </w:pPr>
      <w:r>
        <w:rPr>
          <w:rFonts w:ascii="Times New Roman" w:hAnsi="Times New Roman"/>
          <w:color w:val="1A2E4A"/>
        </w:rPr>
        <w:t>Abstract</w:t>
      </w:r>
    </w:p>
    <w:p>
      <w:r>
        <w:rPr>
          <w:rFonts w:ascii="Times New Roman" w:hAnsi="Times New Roman"/>
          <w:b/>
          <w:i w:val="0"/>
          <w:sz w:val="24"/>
        </w:rPr>
        <w:t xml:space="preserve">Background </w:t>
      </w:r>
      <w:r>
        <w:rPr>
          <w:rFonts w:ascii="Times New Roman" w:hAnsi="Times New Roman"/>
          <w:b w:val="0"/>
          <w:i w:val="0"/>
          <w:sz w:val="24"/>
        </w:rPr>
        <w:t>Vitamin D [25(OH)D] is essential for fetal skeletal development, calcium homeostasis, and metabolic programming during pregnancy. Although maternal vitamin D deficiency is highly prevalent worldwide, the association between 25(OH)D concentrations and fetal growth outcomes remains inconsistent. We aimed to synthesise the available evidence on the relationship between maternal vitamin D status and fetal growth and adiposity.</w:t>
      </w:r>
    </w:p>
    <w:p>
      <w:r>
        <w:rPr>
          <w:rFonts w:ascii="Times New Roman" w:hAnsi="Times New Roman"/>
          <w:b/>
          <w:i w:val="0"/>
          <w:sz w:val="24"/>
        </w:rPr>
        <w:t xml:space="preserve">Methods </w:t>
      </w:r>
      <w:r>
        <w:rPr>
          <w:rFonts w:ascii="Times New Roman" w:hAnsi="Times New Roman"/>
          <w:b w:val="0"/>
          <w:i w:val="0"/>
          <w:sz w:val="24"/>
        </w:rPr>
        <w:t>We conducted a systematic review and meta-analysis following PRISMA 2020 guidelines. Six databases (PubMed, EMBASE, Scopus, LILACS, SciELO, Web of Science) were searched up to October 2024. Observational studies and randomised controlled trials (RCTs) evaluating maternal serum 25(OH)D and fetal growth outcomes were included. Quality was assessed using JBI Critical Appraisal, Newcastle–Ottawa Scale (NOS), and Cochrane RoB 2. Meta-analyses used fixed-effects (I² &lt; 50%) or random-effects (REML; I² ≥ 50%) models. Publication bias was assessed via Egger’s test and Duval &amp; Tweedie trim-and-fill. Certainty of evidence was evaluated using GRADE.</w:t>
      </w:r>
    </w:p>
    <w:p>
      <w:r>
        <w:rPr>
          <w:rFonts w:ascii="Times New Roman" w:hAnsi="Times New Roman"/>
          <w:b/>
          <w:i w:val="0"/>
          <w:sz w:val="24"/>
        </w:rPr>
        <w:t xml:space="preserve">Findings </w:t>
      </w:r>
      <w:r>
        <w:rPr>
          <w:rFonts w:ascii="Times New Roman" w:hAnsi="Times New Roman"/>
          <w:b w:val="0"/>
          <w:i w:val="0"/>
          <w:sz w:val="24"/>
        </w:rPr>
        <w:t>26 studies (24 observational, 2 RCTs; 26,542 participants; 16 countries) were included. Maternal vitamin D deficiency was significantly associated with increased risk of small-for-gestational-age or fetal growth restriction (SGA/FGR; pooled OR 1·95 [95% CI 1·47–2·59]; I² = 0%; k = 4; N = 9033; fixed-effects). For fetal biometry and estimated fetal weight, the pooled OR was 1·16 (1·09–1·23; I² = 33%; k = 4; N = 26,542; GRADE: high certainty). In RCTs, vitamin D supplementation significantly increased femur length (MD +1·98 mm [1·28–2·68]) and humerus length (MD +1·39 mm [0·72–2·06]). No significant association was found with fetal adiposity.</w:t>
      </w:r>
    </w:p>
    <w:p>
      <w:r>
        <w:rPr>
          <w:rFonts w:ascii="Times New Roman" w:hAnsi="Times New Roman"/>
          <w:b/>
          <w:i w:val="0"/>
          <w:sz w:val="24"/>
        </w:rPr>
        <w:t xml:space="preserve">Interpretation </w:t>
      </w:r>
      <w:r>
        <w:rPr>
          <w:rFonts w:ascii="Times New Roman" w:hAnsi="Times New Roman"/>
          <w:b w:val="0"/>
          <w:i w:val="0"/>
          <w:sz w:val="24"/>
        </w:rPr>
        <w:t>Maternal vitamin D deficiency is consistently associated with impaired fetal growth, particularly SGA/FGR. Routine screening and correction of deficiency during pregnancy may improve fetal growth outcomes. Large-scale RCTs are warranted to establish causality and optimal supplementation strategies.</w:t>
      </w:r>
    </w:p>
    <w:p>
      <w:r>
        <w:rPr>
          <w:rFonts w:ascii="Times New Roman" w:hAnsi="Times New Roman"/>
          <w:b/>
          <w:i w:val="0"/>
          <w:sz w:val="24"/>
        </w:rPr>
        <w:t xml:space="preserve">Keywords: </w:t>
      </w:r>
      <w:r>
        <w:rPr>
          <w:rFonts w:ascii="Times New Roman" w:hAnsi="Times New Roman"/>
          <w:b w:val="0"/>
          <w:i w:val="0"/>
          <w:sz w:val="24"/>
        </w:rPr>
        <w:t>vitamin D, 25-hydroxyvitamin D, pregnancy, fetal growth, small-for-gestational-age, fetal growth restriction, adiposity, meta-analysis, systematic review</w:t>
      </w:r>
    </w:p>
    <w:p>
      <w:r>
        <w:br w:type="page"/>
      </w:r>
    </w:p>
    <w:p>
      <w:pPr>
        <w:pStyle w:val="Heading1"/>
      </w:pPr>
      <w:r>
        <w:rPr>
          <w:rFonts w:ascii="Times New Roman" w:hAnsi="Times New Roman"/>
          <w:color w:val="1A2E4A"/>
        </w:rPr>
        <w:t>Introduction</w:t>
      </w:r>
    </w:p>
    <w:p>
      <w:pPr>
        <w:ind w:firstLine="720"/>
      </w:pPr>
      <w:r>
        <w:rPr>
          <w:rFonts w:ascii="Times New Roman" w:hAnsi="Times New Roman"/>
          <w:b w:val="0"/>
          <w:i w:val="0"/>
          <w:sz w:val="24"/>
        </w:rPr>
        <w:t>Vitamin D is a fat-soluble secosteroid that plays a central role in calcium and phosphorus homeostasis, immune regulation, cell proliferation, and gene transcription (1,2,4). The primary circulating form, 25-hydroxyvitamin D [25(OH)D], is synthesised in the liver from cholecalciferol (vitamin D3) obtained through cutaneous photosynthesis or dietary intake, and is subsequently converted to its biologically active form, 1,25-dihydroxyvitamin D [1,25(OH)2D3], in the kidneys and placenta (1).</w:t>
      </w:r>
    </w:p>
    <w:p>
      <w:pPr>
        <w:ind w:firstLine="720"/>
      </w:pPr>
      <w:r>
        <w:rPr>
          <w:rFonts w:ascii="Times New Roman" w:hAnsi="Times New Roman"/>
          <w:b w:val="0"/>
          <w:i w:val="0"/>
          <w:sz w:val="24"/>
        </w:rPr>
        <w:t>During pregnancy, maternal requirements for vitamin D increase substantially to support fetal skeletal development, calcium transfer across the placenta, and metabolic programming (2,3). Maternal 25(OH)D crosses the placenta and serves as the primary source of vitamin D for the developing fetus, as fetal renal 1α-hydroxylase activity is limited (3). Consequently, maternal deficiency—defined as serum 25(OH)D below 50 nmol/L (20 ng/mL)—directly affects fetal vitamin D status and may impair intrauterine growth (4).</w:t>
      </w:r>
    </w:p>
    <w:p>
      <w:pPr>
        <w:ind w:firstLine="720"/>
      </w:pPr>
      <w:r>
        <w:rPr>
          <w:rFonts w:ascii="Times New Roman" w:hAnsi="Times New Roman"/>
          <w:b w:val="0"/>
          <w:i w:val="0"/>
          <w:sz w:val="24"/>
        </w:rPr>
        <w:t>The global prevalence of vitamin D deficiency among pregnant women is alarmingly high, estimated at 47·9% in a pooled analysis of 7·9 million participants (5). This burden is particularly pronounced in regions with limited sun exposure, high skin melanin content, and inadequate dietary supplementation (5,6). Given the established role of vitamin D in bone metabolism and placental function, several studies have investigated whether maternal deficiency is associated with adverse fetal growth outcomes, including small-for-gestational-age (SGA) birth, fetal growth restriction (FGR), altered fetal biometry parameters, and fetal adiposity (7–10).</w:t>
      </w:r>
    </w:p>
    <w:p>
      <w:pPr>
        <w:ind w:firstLine="720"/>
      </w:pPr>
      <w:r>
        <w:rPr>
          <w:rFonts w:ascii="Times New Roman" w:hAnsi="Times New Roman"/>
          <w:b w:val="0"/>
          <w:i w:val="0"/>
          <w:sz w:val="24"/>
        </w:rPr>
        <w:t>However, the existing evidence remains inconsistent. While some studies have reported significant associations between low maternal 25(OH)D and increased risk of SGA or impaired fetal biometry (8,11,12), others have found no significant relationship (13,14). This heterogeneity may be partly explained by differences in study design, sample size, laboratory methods for 25(OH)D quantification, timing of blood sampling during pregnancy, and the definition of vitamin D deficiency thresholds (15).</w:t>
      </w:r>
    </w:p>
    <w:p>
      <w:pPr>
        <w:ind w:firstLine="720"/>
      </w:pPr>
      <w:r>
        <w:rPr>
          <w:rFonts w:ascii="Times New Roman" w:hAnsi="Times New Roman"/>
          <w:b w:val="0"/>
          <w:i w:val="0"/>
          <w:sz w:val="24"/>
        </w:rPr>
        <w:t>Only two previous systematic reviews have specifically addressed the relationship between maternal vitamin D and fetal biometry or SGA risk in observational studies and RCTs, respectively. However, both were conducted before 2019 and did not include recent large-scale cohort studies that have since contributed substantially to the evidence base. Furthermore, no prior review has comprehensively evaluated fetal adiposity as an outcome in relation to maternal vitamin D status.</w:t>
      </w:r>
    </w:p>
    <w:p>
      <w:pPr>
        <w:ind w:firstLine="720"/>
      </w:pPr>
      <w:r>
        <w:rPr>
          <w:rFonts w:ascii="Times New Roman" w:hAnsi="Times New Roman"/>
          <w:b w:val="0"/>
          <w:i w:val="0"/>
          <w:sz w:val="24"/>
        </w:rPr>
        <w:t>In view of these gaps, we conducted a systematic review and meta-analysis to synthesise the available evidence on the association between maternal 25(OH)D concentrations during pregnancy and fetal growth and adiposity outcomes.</w:t>
      </w:r>
    </w:p>
    <w:p>
      <w:r>
        <w:br w:type="page"/>
      </w:r>
    </w:p>
    <w:p>
      <w:pPr>
        <w:pStyle w:val="Heading1"/>
      </w:pPr>
      <w:r>
        <w:rPr>
          <w:rFonts w:ascii="Times New Roman" w:hAnsi="Times New Roman"/>
          <w:color w:val="1A2E4A"/>
        </w:rPr>
        <w:t>Methods</w:t>
      </w:r>
    </w:p>
    <w:p>
      <w:pPr>
        <w:pStyle w:val="Heading2"/>
      </w:pPr>
      <w:r>
        <w:rPr>
          <w:rFonts w:ascii="Times New Roman" w:hAnsi="Times New Roman"/>
          <w:color w:val="1A2E4A"/>
        </w:rPr>
        <w:t>Study design and registration</w:t>
      </w:r>
    </w:p>
    <w:p>
      <w:r>
        <w:rPr>
          <w:rFonts w:ascii="Times New Roman" w:hAnsi="Times New Roman"/>
          <w:b w:val="0"/>
          <w:i w:val="0"/>
          <w:sz w:val="24"/>
        </w:rPr>
        <w:t>This systematic review was conducted in accordance with the Preferred Reporting Items for Systematic Reviews and Meta-Analyses (PRISMA) 2020 guidelines (16) and was prospectively registered at the International Prospective Register of Systematic Reviews (PROSPERO; CRD42024590338).</w:t>
      </w:r>
    </w:p>
    <w:p>
      <w:pPr>
        <w:pStyle w:val="Heading2"/>
      </w:pPr>
      <w:r>
        <w:rPr>
          <w:rFonts w:ascii="Times New Roman" w:hAnsi="Times New Roman"/>
          <w:color w:val="1A2E4A"/>
        </w:rPr>
        <w:t>Eligibility criteria</w:t>
      </w:r>
    </w:p>
    <w:p>
      <w:r>
        <w:rPr>
          <w:rFonts w:ascii="Times New Roman" w:hAnsi="Times New Roman"/>
          <w:b w:val="0"/>
          <w:i w:val="0"/>
          <w:sz w:val="24"/>
        </w:rPr>
        <w:t>We included observational studies (cohort, case-control, cross-sectional) and randomised controlled trials (RCTs) that: (1) enrolled pregnant women; (2) measured maternal serum 25(OH)D concentrations; and (3) reported at least one fetal growth or adiposity outcome, including SGA, FGR, intrauterine growth restriction (IUGR), fetal biometry parameters (femur length [FL], abdominal circumference [AC], biparietal diameter [BPD], head circumference [HC]), estimated fetal weight (EFW), or fetal adiposity measures. Studies involving multiple pregnancies, reviews, editorials, conference abstracts, case reports, and animal studies were excluded.</w:t>
      </w:r>
    </w:p>
    <w:p>
      <w:pPr>
        <w:pStyle w:val="Heading2"/>
      </w:pPr>
      <w:r>
        <w:rPr>
          <w:rFonts w:ascii="Times New Roman" w:hAnsi="Times New Roman"/>
          <w:color w:val="1A2E4A"/>
        </w:rPr>
        <w:t>Information sources and search strategy</w:t>
      </w:r>
    </w:p>
    <w:p>
      <w:r>
        <w:rPr>
          <w:rFonts w:ascii="Times New Roman" w:hAnsi="Times New Roman"/>
          <w:b w:val="0"/>
          <w:i w:val="0"/>
          <w:sz w:val="24"/>
        </w:rPr>
        <w:t>Systematic searches were conducted in six electronic databases: PubMed, EMBASE, Scopus, LILACS, SciELO, and Web of Science. The search was performed from database inception to October 12, 2024. Search strategies combined Medical Subject Headings (MeSH) and free-text terms related to vitamin D (e.g., “25-hydroxyvitamin D”, “cholecalciferol”, “ergocalciferol”) and fetal growth outcomes (e.g., “fetal growth”, “small for gestational age”, “biometry”, “adiposity”). No language restrictions were applied. Reference lists of included studies and relevant reviews were hand-searched. The search strategy was developed using the PRESS guidelines. (17)</w:t>
      </w:r>
    </w:p>
    <w:p>
      <w:pPr>
        <w:pStyle w:val="Heading2"/>
      </w:pPr>
      <w:r>
        <w:rPr>
          <w:rFonts w:ascii="Times New Roman" w:hAnsi="Times New Roman"/>
          <w:color w:val="1A2E4A"/>
        </w:rPr>
        <w:t>Study selection</w:t>
      </w:r>
    </w:p>
    <w:p>
      <w:r>
        <w:rPr>
          <w:rFonts w:ascii="Times New Roman" w:hAnsi="Times New Roman"/>
          <w:b w:val="0"/>
          <w:i w:val="0"/>
          <w:sz w:val="24"/>
        </w:rPr>
        <w:t>Two reviewers (AV and IOA) independently screened titles and abstracts in phase 1, followed by full-text assessment in phase 2. Disagreements were resolved by consensus. Zotero (version 7.0.21; Digital Scholar) was used for reference management.</w:t>
      </w:r>
    </w:p>
    <w:p>
      <w:pPr>
        <w:pStyle w:val="Heading2"/>
      </w:pPr>
      <w:r>
        <w:rPr>
          <w:rFonts w:ascii="Times New Roman" w:hAnsi="Times New Roman"/>
          <w:color w:val="1A2E4A"/>
        </w:rPr>
        <w:t>Data extraction</w:t>
      </w:r>
    </w:p>
    <w:p>
      <w:r>
        <w:rPr>
          <w:rFonts w:ascii="Times New Roman" w:hAnsi="Times New Roman"/>
          <w:b w:val="0"/>
          <w:i w:val="0"/>
          <w:sz w:val="24"/>
        </w:rPr>
        <w:t>Data were extracted by two independent reviewers using a standardised form. The following variables were recorded: first author, year, country, study design, sample size, participant characteristics (age, gestational age, BMI), method of 25(OH)D measurement, mean or median 25(OH)D concentration, vitamin D deficiency threshold, trimester of sampling, fetal outcomes assessed, effect estimates (odds ratios, risk ratios, mean differences, correlation coefficients), and statistical methods used.</w:t>
      </w:r>
    </w:p>
    <w:p>
      <w:pPr>
        <w:pStyle w:val="Heading2"/>
      </w:pPr>
      <w:r>
        <w:rPr>
          <w:rFonts w:ascii="Times New Roman" w:hAnsi="Times New Roman"/>
          <w:color w:val="1A2E4A"/>
        </w:rPr>
        <w:t>Quality assessment</w:t>
      </w:r>
    </w:p>
    <w:p>
      <w:r>
        <w:rPr>
          <w:rFonts w:ascii="Times New Roman" w:hAnsi="Times New Roman"/>
          <w:b w:val="0"/>
          <w:i w:val="0"/>
          <w:sz w:val="24"/>
        </w:rPr>
        <w:t>Methodological quality of observational studies was assessed using the Joanna Briggs Institute (JBI) Critical Appraisal tools (18) and the Newcastle–Ottawa Scale (NOS). (19) The JBI tools consist of domain-specific checklists (8–11 items) evaluated as “Yes”, “No”, or “Unclear”. The NOS was scored on a 0–9 scale, with scores ≥7 indicating high quality. Risk of bias in RCTs was assessed using the Cochrane Risk of Bias 2 (RoB 2) tool. (20)</w:t>
      </w:r>
    </w:p>
    <w:p>
      <w:pPr>
        <w:pStyle w:val="Heading2"/>
      </w:pPr>
      <w:r>
        <w:rPr>
          <w:rFonts w:ascii="Times New Roman" w:hAnsi="Times New Roman"/>
          <w:color w:val="1A2E4A"/>
        </w:rPr>
        <w:t>Statistical analysis</w:t>
      </w:r>
    </w:p>
    <w:p>
      <w:r>
        <w:rPr>
          <w:rFonts w:ascii="Times New Roman" w:hAnsi="Times New Roman"/>
          <w:b w:val="0"/>
          <w:i w:val="0"/>
          <w:sz w:val="24"/>
        </w:rPr>
        <w:t>Meta-analyses were performed using R (version 4.3) with the meta and metafor packages. For dichotomous outcomes (SGA/FGR, biometry abnormalities), odds ratios (OR) with 95% confidence intervals (CI) were pooled using inverse-variance weighting. Where original studies reported protective ORs (i.e., higher vitamin D associated with lower risk), effect estimates were inverted to harmonise the direction of association such that vitamin D deficiency corresponded to increased risk.</w:t>
      </w:r>
    </w:p>
    <w:p>
      <w:pPr>
        <w:ind w:firstLine="720"/>
      </w:pPr>
      <w:r>
        <w:rPr>
          <w:rFonts w:ascii="Times New Roman" w:hAnsi="Times New Roman"/>
          <w:b w:val="0"/>
          <w:i w:val="0"/>
          <w:sz w:val="24"/>
        </w:rPr>
        <w:t>For continuous outcomes from RCTs, mean differences (MD) with 95% CIs were calculated. An adaptive model selection approach was used: fixed-effects (Mantel–Haenszel) models were applied when heterogeneity was low (I² &lt; 50%), and random-effects models with restricted maximum likelihood (REML) estimation of between-study variance (τ²) were used when I² ≥ 50%.</w:t>
      </w:r>
    </w:p>
    <w:p>
      <w:pPr>
        <w:ind w:firstLine="720"/>
      </w:pPr>
      <w:r>
        <w:rPr>
          <w:rFonts w:ascii="Times New Roman" w:hAnsi="Times New Roman"/>
          <w:b w:val="0"/>
          <w:i w:val="0"/>
          <w:sz w:val="24"/>
        </w:rPr>
        <w:t>Heterogeneity was quantified using Cochran’s Q statistic and the I² index. Sensitivity analyses included leave-one-out analysis and restriction to prospective cohort studies only. Subgroup analysis was performed by vitamin D deficiency threshold (&lt; 25, ≤ 30, ≤ 50 nmol/L). Publication bias was assessed using Egger’s linear regression test, Begg’s rank correlation test, and Duval &amp; Tweedie trim-and-fill analysis. The clinical relevance of the pooled OR was expressed as risk difference (RD) and number needed to harm (NNH), assuming a baseline SGA prevalence of 8%. Certainty of evidence was evaluated for each outcome using the Grading of Recommendations Assessment, Development and Evaluation (GRADE) framework. (21)</w:t>
      </w:r>
    </w:p>
    <w:p>
      <w:pPr>
        <w:pStyle w:val="Heading2"/>
      </w:pPr>
      <w:r>
        <w:rPr>
          <w:rFonts w:ascii="Times New Roman" w:hAnsi="Times New Roman"/>
          <w:color w:val="1A2E4A"/>
        </w:rPr>
        <w:t>Role of the funding source</w:t>
      </w:r>
    </w:p>
    <w:p>
      <w:r>
        <w:rPr>
          <w:rFonts w:ascii="Times New Roman" w:hAnsi="Times New Roman"/>
          <w:b w:val="0"/>
          <w:i w:val="0"/>
          <w:sz w:val="24"/>
        </w:rPr>
        <w:t>No external funding was received for this study.</w:t>
      </w:r>
    </w:p>
    <w:p>
      <w:r>
        <w:br w:type="page"/>
      </w:r>
    </w:p>
    <w:p>
      <w:pPr>
        <w:pStyle w:val="Heading1"/>
      </w:pPr>
      <w:r>
        <w:rPr>
          <w:rFonts w:ascii="Times New Roman" w:hAnsi="Times New Roman"/>
          <w:color w:val="1A2E4A"/>
        </w:rPr>
        <w:t>Results</w:t>
      </w:r>
    </w:p>
    <w:p>
      <w:pPr>
        <w:pStyle w:val="Heading2"/>
      </w:pPr>
      <w:r>
        <w:rPr>
          <w:rFonts w:ascii="Times New Roman" w:hAnsi="Times New Roman"/>
          <w:color w:val="1A2E4A"/>
        </w:rPr>
        <w:t>Study selection</w:t>
      </w:r>
    </w:p>
    <w:p>
      <w:r>
        <w:rPr>
          <w:rFonts w:ascii="Times New Roman" w:hAnsi="Times New Roman"/>
          <w:b w:val="0"/>
          <w:i w:val="0"/>
          <w:sz w:val="24"/>
        </w:rPr>
        <w:t>The systematic search identified 3135 records across six databases. After removal of duplicates, 3412 unique records were screened by title and abstract (phase 1), of which 30 were assessed in full text (phase 2). Four studies were excluded: two did not measure fetal growth outcomes, one included only postpartum vitamin D assessment, and one was a duplicate publication. A total of 26 studies met the eligibility criteria and were included in the qualitative synthesis. Of these, eight studies (four for SGA/FGR and four for biometry/EFW) provided sufficient data for quantitative meta-analysis (figure 1).</w:t>
      </w:r>
    </w:p>
    <w:p>
      <w:pPr>
        <w:jc w:val="center"/>
      </w:pPr>
      <w:r>
        <w:drawing>
          <wp:inline xmlns:a="http://schemas.openxmlformats.org/drawingml/2006/main" xmlns:pic="http://schemas.openxmlformats.org/drawingml/2006/picture">
            <wp:extent cx="5029200" cy="5445502"/>
            <wp:docPr id="1" name="Picture 1"/>
            <wp:cNvGraphicFramePr>
              <a:graphicFrameLocks noChangeAspect="1"/>
            </wp:cNvGraphicFramePr>
            <a:graphic>
              <a:graphicData uri="http://schemas.openxmlformats.org/drawingml/2006/picture">
                <pic:pic>
                  <pic:nvPicPr>
                    <pic:cNvPr id="0" name="PRISMA_FlowDiagram.png"/>
                    <pic:cNvPicPr/>
                  </pic:nvPicPr>
                  <pic:blipFill>
                    <a:blip r:embed="rId9"/>
                    <a:stretch>
                      <a:fillRect/>
                    </a:stretch>
                  </pic:blipFill>
                  <pic:spPr>
                    <a:xfrm>
                      <a:off x="0" y="0"/>
                      <a:ext cx="5029200" cy="5445502"/>
                    </a:xfrm>
                    <a:prstGeom prst="rect"/>
                  </pic:spPr>
                </pic:pic>
              </a:graphicData>
            </a:graphic>
          </wp:inline>
        </w:drawing>
      </w:r>
    </w:p>
    <w:p>
      <w:pPr>
        <w:spacing w:before="120" w:after="320"/>
        <w:jc w:val="left"/>
      </w:pPr>
      <w:r>
        <w:rPr>
          <w:rFonts w:ascii="Times New Roman" w:hAnsi="Times New Roman"/>
          <w:b/>
          <w:i w:val="0"/>
          <w:sz w:val="22"/>
        </w:rPr>
        <w:t xml:space="preserve">Figure 1. </w:t>
      </w:r>
      <w:r>
        <w:rPr>
          <w:rFonts w:ascii="Times New Roman" w:hAnsi="Times New Roman"/>
          <w:b w:val="0"/>
          <w:i/>
          <w:sz w:val="22"/>
        </w:rPr>
        <w:t>PRISMA 2020 flow diagram of study identification, screening, and inclusion.</w:t>
      </w:r>
    </w:p>
    <w:p>
      <w:pPr>
        <w:pStyle w:val="Heading2"/>
      </w:pPr>
      <w:r>
        <w:rPr>
          <w:rFonts w:ascii="Times New Roman" w:hAnsi="Times New Roman"/>
          <w:color w:val="1A2E4A"/>
        </w:rPr>
        <w:t>Study characteristics</w:t>
      </w:r>
    </w:p>
    <w:p>
      <w:r>
        <w:rPr>
          <w:rFonts w:ascii="Times New Roman" w:hAnsi="Times New Roman"/>
          <w:b w:val="0"/>
          <w:i w:val="0"/>
          <w:sz w:val="24"/>
        </w:rPr>
        <w:t>The 26 included studies comprised 24 observational studies (18 prospective or retrospective cohorts, 2 case-control, 2 cross-sectional, 2 population-based) and 2 RCTs, enrolling a total of 26,542 participants (table 1). Studies were conducted in 16 countries across four continents: Asia (12 studies, 46%), Europe (8, 31%), the Americas (4, 15%), and Africa (1, 4%). Sample sizes ranged from 48 to 10,913 participants. Publication dates spanned 2010 to 2025, with 14 studies (54%) published after 2020.</w:t>
      </w:r>
    </w:p>
    <w:p>
      <w:pPr>
        <w:ind w:firstLine="720"/>
      </w:pPr>
      <w:r>
        <w:rPr>
          <w:rFonts w:ascii="Times New Roman" w:hAnsi="Times New Roman"/>
          <w:b w:val="0"/>
          <w:i w:val="0"/>
          <w:sz w:val="24"/>
        </w:rPr>
        <w:t>Maternal 25(OH)D concentrations were reported in 22 studies, with a mean of 53·6 ± 14·7 nmol/L (median 50·1 nmol/L; IQR 43·6–65·0). Concentrations varied by continent: studies from Asia reported the lowest mean values (48·0 ± 14·1 nmol/L), while American studies reported the highest (61·8 ± 5·7 nmol/L). Vitamin D was measured by immunoassay in 18 studies (69%; CLIA, RIA, ECLIA, ELISA, ECL) and by mass spectrometry in 8 studies (31%; HPLC-MS/MS or HPLC). The most commonly used deficiency threshold was ≤50 nmol/L (17 studies, 65%).</w:t>
      </w:r>
    </w:p>
    <w:p>
      <w:pPr>
        <w:ind w:firstLine="720"/>
      </w:pPr>
      <w:r>
        <w:rPr>
          <w:rFonts w:ascii="Times New Roman" w:hAnsi="Times New Roman"/>
          <w:b w:val="0"/>
          <w:i w:val="0"/>
          <w:sz w:val="24"/>
        </w:rPr>
        <w:t>The outcomes assessed were diverse: 10 studies evaluated SGA, FGR, or IUGR; 8 assessed fetal biometry or EFW; 4 evaluated fetal bone parameters (FL, HL); 1 assessed fetal adiposity; and 3 evaluated combined or other growth-related outcomes. Of 26 studies, 15 (58%) reported statistically significant associations between maternal vitamin D status and at least one fetal growth outcome.</w:t>
      </w:r>
    </w:p>
    <w:p>
      <w:pPr>
        <w:spacing w:before="240" w:after="120"/>
      </w:pPr>
      <w:r>
        <w:rPr>
          <w:rFonts w:ascii="Times New Roman" w:hAnsi="Times New Roman"/>
          <w:b/>
          <w:i w:val="0"/>
          <w:sz w:val="22"/>
        </w:rPr>
        <w:t xml:space="preserve">Table 1. </w:t>
      </w:r>
      <w:r>
        <w:rPr>
          <w:rFonts w:ascii="Times New Roman" w:hAnsi="Times New Roman"/>
          <w:b w:val="0"/>
          <w:i/>
          <w:sz w:val="22"/>
        </w:rPr>
        <w:t>Characteristics of the 26 included studies. 25(OH)D = mean maternal serum concentration; NOS = Newcastle–Ottawa Scale score (/9); Sig. = statistically significant association; RCT studies assessed with Cochrane RoB 2.</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A2E4A"/>
          </w:tcPr>
          <w:p>
            <w:r/>
            <w:r>
              <w:rPr>
                <w:rFonts w:ascii="Times New Roman" w:hAnsi="Times New Roman"/>
                <w:b/>
                <w:color w:val="FFFFFF"/>
                <w:sz w:val="16"/>
              </w:rPr>
              <w:t>ID</w:t>
            </w:r>
          </w:p>
        </w:tc>
        <w:tc>
          <w:tcPr>
            <w:tcW w:type="dxa" w:w="936"/>
            <w:shd w:val="clear" w:color="auto" w:fill="1A2E4A"/>
          </w:tcPr>
          <w:p>
            <w:r/>
            <w:r>
              <w:rPr>
                <w:rFonts w:ascii="Times New Roman" w:hAnsi="Times New Roman"/>
                <w:b/>
                <w:color w:val="FFFFFF"/>
                <w:sz w:val="16"/>
              </w:rPr>
              <w:t>Author, Year</w:t>
            </w:r>
          </w:p>
        </w:tc>
        <w:tc>
          <w:tcPr>
            <w:tcW w:type="dxa" w:w="936"/>
            <w:shd w:val="clear" w:color="auto" w:fill="1A2E4A"/>
          </w:tcPr>
          <w:p>
            <w:r/>
            <w:r>
              <w:rPr>
                <w:rFonts w:ascii="Times New Roman" w:hAnsi="Times New Roman"/>
                <w:b/>
                <w:color w:val="FFFFFF"/>
                <w:sz w:val="16"/>
              </w:rPr>
              <w:t>Country</w:t>
            </w:r>
          </w:p>
        </w:tc>
        <w:tc>
          <w:tcPr>
            <w:tcW w:type="dxa" w:w="936"/>
            <w:shd w:val="clear" w:color="auto" w:fill="1A2E4A"/>
          </w:tcPr>
          <w:p>
            <w:r/>
            <w:r>
              <w:rPr>
                <w:rFonts w:ascii="Times New Roman" w:hAnsi="Times New Roman"/>
                <w:b/>
                <w:color w:val="FFFFFF"/>
                <w:sz w:val="16"/>
              </w:rPr>
              <w:t>Design</w:t>
            </w:r>
          </w:p>
        </w:tc>
        <w:tc>
          <w:tcPr>
            <w:tcW w:type="dxa" w:w="936"/>
            <w:shd w:val="clear" w:color="auto" w:fill="1A2E4A"/>
          </w:tcPr>
          <w:p>
            <w:r/>
            <w:r>
              <w:rPr>
                <w:rFonts w:ascii="Times New Roman" w:hAnsi="Times New Roman"/>
                <w:b/>
                <w:color w:val="FFFFFF"/>
                <w:sz w:val="16"/>
              </w:rPr>
              <w:t>N</w:t>
            </w:r>
          </w:p>
        </w:tc>
        <w:tc>
          <w:tcPr>
            <w:tcW w:type="dxa" w:w="936"/>
            <w:shd w:val="clear" w:color="auto" w:fill="1A2E4A"/>
          </w:tcPr>
          <w:p>
            <w:r/>
            <w:r>
              <w:rPr>
                <w:rFonts w:ascii="Times New Roman" w:hAnsi="Times New Roman"/>
                <w:b/>
                <w:color w:val="FFFFFF"/>
                <w:sz w:val="16"/>
              </w:rPr>
              <w:t>25(OH)D</w:t>
              <w:br/>
              <w:t>nmol/L</w:t>
            </w:r>
          </w:p>
        </w:tc>
        <w:tc>
          <w:tcPr>
            <w:tcW w:type="dxa" w:w="936"/>
            <w:shd w:val="clear" w:color="auto" w:fill="1A2E4A"/>
          </w:tcPr>
          <w:p>
            <w:r/>
            <w:r>
              <w:rPr>
                <w:rFonts w:ascii="Times New Roman" w:hAnsi="Times New Roman"/>
                <w:b/>
                <w:color w:val="FFFFFF"/>
                <w:sz w:val="16"/>
              </w:rPr>
              <w:t>Lab</w:t>
            </w:r>
          </w:p>
        </w:tc>
        <w:tc>
          <w:tcPr>
            <w:tcW w:type="dxa" w:w="936"/>
            <w:shd w:val="clear" w:color="auto" w:fill="1A2E4A"/>
          </w:tcPr>
          <w:p>
            <w:r/>
            <w:r>
              <w:rPr>
                <w:rFonts w:ascii="Times New Roman" w:hAnsi="Times New Roman"/>
                <w:b/>
                <w:color w:val="FFFFFF"/>
                <w:sz w:val="16"/>
              </w:rPr>
              <w:t>Outcome</w:t>
            </w:r>
          </w:p>
        </w:tc>
        <w:tc>
          <w:tcPr>
            <w:tcW w:type="dxa" w:w="936"/>
            <w:shd w:val="clear" w:color="auto" w:fill="1A2E4A"/>
          </w:tcPr>
          <w:p>
            <w:r/>
            <w:r>
              <w:rPr>
                <w:rFonts w:ascii="Times New Roman" w:hAnsi="Times New Roman"/>
                <w:b/>
                <w:color w:val="FFFFFF"/>
                <w:sz w:val="16"/>
              </w:rPr>
              <w:t>Sig.</w:t>
            </w:r>
          </w:p>
        </w:tc>
        <w:tc>
          <w:tcPr>
            <w:tcW w:type="dxa" w:w="936"/>
            <w:shd w:val="clear" w:color="auto" w:fill="1A2E4A"/>
          </w:tcPr>
          <w:p>
            <w:r/>
            <w:r>
              <w:rPr>
                <w:rFonts w:ascii="Times New Roman" w:hAnsi="Times New Roman"/>
                <w:b/>
                <w:color w:val="FFFFFF"/>
                <w:sz w:val="16"/>
              </w:rPr>
              <w:t>NOS</w:t>
            </w:r>
          </w:p>
        </w:tc>
      </w:tr>
      <w:tr>
        <w:tc>
          <w:tcPr>
            <w:tcW w:type="dxa" w:w="936"/>
          </w:tcPr>
          <w:p>
            <w:r/>
            <w:r>
              <w:rPr>
                <w:rFonts w:ascii="Times New Roman" w:hAnsi="Times New Roman"/>
                <w:color w:val="111111"/>
                <w:sz w:val="16"/>
              </w:rPr>
              <w:t>D01</w:t>
            </w:r>
          </w:p>
        </w:tc>
        <w:tc>
          <w:tcPr>
            <w:tcW w:type="dxa" w:w="936"/>
          </w:tcPr>
          <w:p>
            <w:r/>
            <w:r>
              <w:rPr>
                <w:rFonts w:ascii="Times New Roman" w:hAnsi="Times New Roman"/>
                <w:color w:val="111111"/>
                <w:sz w:val="16"/>
              </w:rPr>
              <w:t>Tosun, 2025</w:t>
            </w:r>
          </w:p>
        </w:tc>
        <w:tc>
          <w:tcPr>
            <w:tcW w:type="dxa" w:w="936"/>
          </w:tcPr>
          <w:p>
            <w:r/>
            <w:r>
              <w:rPr>
                <w:rFonts w:ascii="Times New Roman" w:hAnsi="Times New Roman"/>
                <w:color w:val="111111"/>
                <w:sz w:val="16"/>
              </w:rPr>
              <w:t>Turkey</w:t>
            </w:r>
          </w:p>
        </w:tc>
        <w:tc>
          <w:tcPr>
            <w:tcW w:type="dxa" w:w="936"/>
          </w:tcPr>
          <w:p>
            <w:r/>
            <w:r>
              <w:rPr>
                <w:rFonts w:ascii="Times New Roman" w:hAnsi="Times New Roman"/>
                <w:color w:val="111111"/>
                <w:sz w:val="16"/>
              </w:rPr>
              <w:t>Prospective Cohort</w:t>
            </w:r>
          </w:p>
        </w:tc>
        <w:tc>
          <w:tcPr>
            <w:tcW w:type="dxa" w:w="936"/>
          </w:tcPr>
          <w:p>
            <w:r/>
            <w:r>
              <w:rPr>
                <w:rFonts w:ascii="Times New Roman" w:hAnsi="Times New Roman"/>
                <w:color w:val="111111"/>
                <w:sz w:val="16"/>
              </w:rPr>
              <w:t>226</w:t>
            </w:r>
          </w:p>
        </w:tc>
        <w:tc>
          <w:tcPr>
            <w:tcW w:type="dxa" w:w="936"/>
          </w:tcPr>
          <w:p>
            <w:r/>
            <w:r>
              <w:rPr>
                <w:rFonts w:ascii="Times New Roman" w:hAnsi="Times New Roman"/>
                <w:color w:val="111111"/>
                <w:sz w:val="16"/>
              </w:rPr>
              <w:t>39.4</w:t>
            </w:r>
          </w:p>
        </w:tc>
        <w:tc>
          <w:tcPr>
            <w:tcW w:type="dxa" w:w="936"/>
          </w:tcPr>
          <w:p>
            <w:r/>
            <w:r>
              <w:rPr>
                <w:rFonts w:ascii="Times New Roman" w:hAnsi="Times New Roman"/>
                <w:color w:val="111111"/>
                <w:sz w:val="16"/>
              </w:rPr>
              <w:t>CLIA</w:t>
            </w:r>
          </w:p>
        </w:tc>
        <w:tc>
          <w:tcPr>
            <w:tcW w:type="dxa" w:w="936"/>
          </w:tcPr>
          <w:p>
            <w:r/>
            <w:r>
              <w:rPr>
                <w:rFonts w:ascii="Times New Roman" w:hAnsi="Times New Roman"/>
                <w:color w:val="111111"/>
                <w:sz w:val="16"/>
              </w:rPr>
              <w:t>SGA/FGR</w:t>
            </w:r>
          </w:p>
        </w:tc>
        <w:tc>
          <w:tcPr>
            <w:tcW w:type="dxa" w:w="936"/>
          </w:tcPr>
          <w:p>
            <w:r/>
            <w:r>
              <w:rPr>
                <w:rFonts w:ascii="Times New Roman" w:hAnsi="Times New Roman"/>
                <w:color w:val="111111"/>
                <w:sz w:val="16"/>
              </w:rPr>
              <w:t>No</w:t>
            </w:r>
          </w:p>
        </w:tc>
        <w:tc>
          <w:tcPr>
            <w:tcW w:type="dxa" w:w="936"/>
          </w:tcPr>
          <w:p>
            <w:r/>
            <w:r>
              <w:rPr>
                <w:rFonts w:ascii="Times New Roman" w:hAnsi="Times New Roman"/>
                <w:color w:val="111111"/>
                <w:sz w:val="16"/>
              </w:rPr>
              <w:t>7</w:t>
            </w:r>
          </w:p>
        </w:tc>
      </w:tr>
      <w:tr>
        <w:tc>
          <w:tcPr>
            <w:tcW w:type="dxa" w:w="936"/>
            <w:shd w:val="clear" w:color="auto" w:fill="F5F6F8"/>
          </w:tcPr>
          <w:p>
            <w:r/>
            <w:r>
              <w:rPr>
                <w:rFonts w:ascii="Times New Roman" w:hAnsi="Times New Roman"/>
                <w:color w:val="111111"/>
                <w:sz w:val="16"/>
              </w:rPr>
              <w:t>D02</w:t>
            </w:r>
          </w:p>
        </w:tc>
        <w:tc>
          <w:tcPr>
            <w:tcW w:type="dxa" w:w="936"/>
            <w:shd w:val="clear" w:color="auto" w:fill="F5F6F8"/>
          </w:tcPr>
          <w:p>
            <w:r/>
            <w:r>
              <w:rPr>
                <w:rFonts w:ascii="Times New Roman" w:hAnsi="Times New Roman"/>
                <w:color w:val="111111"/>
                <w:sz w:val="16"/>
              </w:rPr>
              <w:t>Miliku, 2016</w:t>
            </w:r>
          </w:p>
        </w:tc>
        <w:tc>
          <w:tcPr>
            <w:tcW w:type="dxa" w:w="936"/>
            <w:shd w:val="clear" w:color="auto" w:fill="F5F6F8"/>
          </w:tcPr>
          <w:p>
            <w:r/>
            <w:r>
              <w:rPr>
                <w:rFonts w:ascii="Times New Roman" w:hAnsi="Times New Roman"/>
                <w:color w:val="111111"/>
                <w:sz w:val="16"/>
              </w:rPr>
              <w:t>Netherlands</w:t>
            </w:r>
          </w:p>
        </w:tc>
        <w:tc>
          <w:tcPr>
            <w:tcW w:type="dxa" w:w="936"/>
            <w:shd w:val="clear" w:color="auto" w:fill="F5F6F8"/>
          </w:tcPr>
          <w:p>
            <w:r/>
            <w:r>
              <w:rPr>
                <w:rFonts w:ascii="Times New Roman" w:hAnsi="Times New Roman"/>
                <w:color w:val="111111"/>
                <w:sz w:val="16"/>
              </w:rPr>
              <w:t>Prospective Cohort</w:t>
            </w:r>
          </w:p>
        </w:tc>
        <w:tc>
          <w:tcPr>
            <w:tcW w:type="dxa" w:w="936"/>
            <w:shd w:val="clear" w:color="auto" w:fill="F5F6F8"/>
          </w:tcPr>
          <w:p>
            <w:r/>
            <w:r>
              <w:rPr>
                <w:rFonts w:ascii="Times New Roman" w:hAnsi="Times New Roman"/>
                <w:color w:val="111111"/>
                <w:sz w:val="16"/>
              </w:rPr>
              <w:t>7,098</w:t>
            </w:r>
          </w:p>
        </w:tc>
        <w:tc>
          <w:tcPr>
            <w:tcW w:type="dxa" w:w="936"/>
            <w:shd w:val="clear" w:color="auto" w:fill="F5F6F8"/>
          </w:tcPr>
          <w:p>
            <w:r/>
            <w:r>
              <w:rPr>
                <w:rFonts w:ascii="Times New Roman" w:hAnsi="Times New Roman"/>
                <w:color w:val="111111"/>
                <w:sz w:val="16"/>
              </w:rPr>
              <w:t>46.7</w:t>
            </w:r>
          </w:p>
        </w:tc>
        <w:tc>
          <w:tcPr>
            <w:tcW w:type="dxa" w:w="936"/>
            <w:shd w:val="clear" w:color="auto" w:fill="F5F6F8"/>
          </w:tcPr>
          <w:p>
            <w:r/>
            <w:r>
              <w:rPr>
                <w:rFonts w:ascii="Times New Roman" w:hAnsi="Times New Roman"/>
                <w:color w:val="111111"/>
                <w:sz w:val="16"/>
              </w:rPr>
              <w:t>HPLC-MS/MS</w:t>
            </w:r>
          </w:p>
        </w:tc>
        <w:tc>
          <w:tcPr>
            <w:tcW w:type="dxa" w:w="936"/>
            <w:shd w:val="clear" w:color="auto" w:fill="F5F6F8"/>
          </w:tcPr>
          <w:p>
            <w:r/>
            <w:r>
              <w:rPr>
                <w:rFonts w:ascii="Times New Roman" w:hAnsi="Times New Roman"/>
                <w:color w:val="111111"/>
                <w:sz w:val="16"/>
              </w:rPr>
              <w:t>SGA</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9</w:t>
            </w:r>
          </w:p>
        </w:tc>
      </w:tr>
      <w:tr>
        <w:tc>
          <w:tcPr>
            <w:tcW w:type="dxa" w:w="936"/>
          </w:tcPr>
          <w:p>
            <w:r/>
            <w:r>
              <w:rPr>
                <w:rFonts w:ascii="Times New Roman" w:hAnsi="Times New Roman"/>
                <w:color w:val="111111"/>
                <w:sz w:val="16"/>
              </w:rPr>
              <w:t>D03</w:t>
            </w:r>
          </w:p>
        </w:tc>
        <w:tc>
          <w:tcPr>
            <w:tcW w:type="dxa" w:w="936"/>
          </w:tcPr>
          <w:p>
            <w:r/>
            <w:r>
              <w:rPr>
                <w:rFonts w:ascii="Times New Roman" w:hAnsi="Times New Roman"/>
                <w:color w:val="111111"/>
                <w:sz w:val="16"/>
              </w:rPr>
              <w:t>Mahon, 2010</w:t>
            </w:r>
          </w:p>
        </w:tc>
        <w:tc>
          <w:tcPr>
            <w:tcW w:type="dxa" w:w="936"/>
          </w:tcPr>
          <w:p>
            <w:r/>
            <w:r>
              <w:rPr>
                <w:rFonts w:ascii="Times New Roman" w:hAnsi="Times New Roman"/>
                <w:color w:val="111111"/>
                <w:sz w:val="16"/>
              </w:rPr>
              <w:t>UK</w:t>
            </w:r>
          </w:p>
        </w:tc>
        <w:tc>
          <w:tcPr>
            <w:tcW w:type="dxa" w:w="936"/>
          </w:tcPr>
          <w:p>
            <w:r/>
            <w:r>
              <w:rPr>
                <w:rFonts w:ascii="Times New Roman" w:hAnsi="Times New Roman"/>
                <w:color w:val="111111"/>
                <w:sz w:val="16"/>
              </w:rPr>
              <w:t>Prospective Cohort</w:t>
            </w:r>
          </w:p>
        </w:tc>
        <w:tc>
          <w:tcPr>
            <w:tcW w:type="dxa" w:w="936"/>
          </w:tcPr>
          <w:p>
            <w:r/>
            <w:r>
              <w:rPr>
                <w:rFonts w:ascii="Times New Roman" w:hAnsi="Times New Roman"/>
                <w:color w:val="111111"/>
                <w:sz w:val="16"/>
              </w:rPr>
              <w:t>424</w:t>
            </w:r>
          </w:p>
        </w:tc>
        <w:tc>
          <w:tcPr>
            <w:tcW w:type="dxa" w:w="936"/>
          </w:tcPr>
          <w:p>
            <w:r/>
            <w:r>
              <w:rPr>
                <w:rFonts w:ascii="Times New Roman" w:hAnsi="Times New Roman"/>
                <w:color w:val="111111"/>
                <w:sz w:val="16"/>
              </w:rPr>
              <w:t>61.0</w:t>
            </w:r>
          </w:p>
        </w:tc>
        <w:tc>
          <w:tcPr>
            <w:tcW w:type="dxa" w:w="936"/>
          </w:tcPr>
          <w:p>
            <w:r/>
            <w:r>
              <w:rPr>
                <w:rFonts w:ascii="Times New Roman" w:hAnsi="Times New Roman"/>
                <w:color w:val="111111"/>
                <w:sz w:val="16"/>
              </w:rPr>
              <w:t>RIA</w:t>
            </w:r>
          </w:p>
        </w:tc>
        <w:tc>
          <w:tcPr>
            <w:tcW w:type="dxa" w:w="936"/>
          </w:tcPr>
          <w:p>
            <w:r/>
            <w:r>
              <w:rPr>
                <w:rFonts w:ascii="Times New Roman" w:hAnsi="Times New Roman"/>
                <w:color w:val="111111"/>
                <w:sz w:val="16"/>
              </w:rPr>
              <w:t>Bone</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D04</w:t>
            </w:r>
          </w:p>
        </w:tc>
        <w:tc>
          <w:tcPr>
            <w:tcW w:type="dxa" w:w="936"/>
            <w:shd w:val="clear" w:color="auto" w:fill="F5F6F8"/>
          </w:tcPr>
          <w:p>
            <w:r/>
            <w:r>
              <w:rPr>
                <w:rFonts w:ascii="Times New Roman" w:hAnsi="Times New Roman"/>
                <w:color w:val="111111"/>
                <w:sz w:val="16"/>
              </w:rPr>
              <w:t>Wierzejska, 2020</w:t>
            </w:r>
          </w:p>
        </w:tc>
        <w:tc>
          <w:tcPr>
            <w:tcW w:type="dxa" w:w="936"/>
            <w:shd w:val="clear" w:color="auto" w:fill="F5F6F8"/>
          </w:tcPr>
          <w:p>
            <w:r/>
            <w:r>
              <w:rPr>
                <w:rFonts w:ascii="Times New Roman" w:hAnsi="Times New Roman"/>
                <w:color w:val="111111"/>
                <w:sz w:val="16"/>
              </w:rPr>
              <w:t>Poland</w:t>
            </w:r>
          </w:p>
        </w:tc>
        <w:tc>
          <w:tcPr>
            <w:tcW w:type="dxa" w:w="936"/>
            <w:shd w:val="clear" w:color="auto" w:fill="F5F6F8"/>
          </w:tcPr>
          <w:p>
            <w:r/>
            <w:r>
              <w:rPr>
                <w:rFonts w:ascii="Times New Roman" w:hAnsi="Times New Roman"/>
                <w:color w:val="111111"/>
                <w:sz w:val="16"/>
              </w:rPr>
              <w:t>Cross-sectional</w:t>
            </w:r>
          </w:p>
        </w:tc>
        <w:tc>
          <w:tcPr>
            <w:tcW w:type="dxa" w:w="936"/>
            <w:shd w:val="clear" w:color="auto" w:fill="F5F6F8"/>
          </w:tcPr>
          <w:p>
            <w:r/>
            <w:r>
              <w:rPr>
                <w:rFonts w:ascii="Times New Roman" w:hAnsi="Times New Roman"/>
                <w:color w:val="111111"/>
                <w:sz w:val="16"/>
              </w:rPr>
              <w:t>94</w:t>
            </w:r>
          </w:p>
        </w:tc>
        <w:tc>
          <w:tcPr>
            <w:tcW w:type="dxa" w:w="936"/>
            <w:shd w:val="clear" w:color="auto" w:fill="F5F6F8"/>
          </w:tcPr>
          <w:p>
            <w:r/>
            <w:r>
              <w:rPr>
                <w:rFonts w:ascii="Times New Roman" w:hAnsi="Times New Roman"/>
                <w:color w:val="111111"/>
                <w:sz w:val="16"/>
              </w:rPr>
              <w:t>47.5</w:t>
            </w:r>
          </w:p>
        </w:tc>
        <w:tc>
          <w:tcPr>
            <w:tcW w:type="dxa" w:w="936"/>
            <w:shd w:val="clear" w:color="auto" w:fill="F5F6F8"/>
          </w:tcPr>
          <w:p>
            <w:r/>
            <w:r>
              <w:rPr>
                <w:rFonts w:ascii="Times New Roman" w:hAnsi="Times New Roman"/>
                <w:color w:val="111111"/>
                <w:sz w:val="16"/>
              </w:rPr>
              <w:t>CLIA</w:t>
            </w:r>
          </w:p>
        </w:tc>
        <w:tc>
          <w:tcPr>
            <w:tcW w:type="dxa" w:w="936"/>
            <w:shd w:val="clear" w:color="auto" w:fill="F5F6F8"/>
          </w:tcPr>
          <w:p>
            <w:r/>
            <w:r>
              <w:rPr>
                <w:rFonts w:ascii="Times New Roman" w:hAnsi="Times New Roman"/>
                <w:color w:val="111111"/>
                <w:sz w:val="16"/>
              </w:rPr>
              <w:t>Biometry</w:t>
            </w:r>
          </w:p>
        </w:tc>
        <w:tc>
          <w:tcPr>
            <w:tcW w:type="dxa" w:w="936"/>
            <w:shd w:val="clear" w:color="auto" w:fill="F5F6F8"/>
          </w:tcPr>
          <w:p>
            <w:r/>
            <w:r>
              <w:rPr>
                <w:rFonts w:ascii="Times New Roman" w:hAnsi="Times New Roman"/>
                <w:color w:val="111111"/>
                <w:sz w:val="16"/>
              </w:rPr>
              <w:t>No</w:t>
            </w:r>
          </w:p>
        </w:tc>
        <w:tc>
          <w:tcPr>
            <w:tcW w:type="dxa" w:w="936"/>
            <w:shd w:val="clear" w:color="auto" w:fill="F5F6F8"/>
          </w:tcPr>
          <w:p>
            <w:r/>
            <w:r>
              <w:rPr>
                <w:rFonts w:ascii="Times New Roman" w:hAnsi="Times New Roman"/>
                <w:color w:val="111111"/>
                <w:sz w:val="16"/>
              </w:rPr>
              <w:t>5</w:t>
            </w:r>
          </w:p>
        </w:tc>
      </w:tr>
      <w:tr>
        <w:tc>
          <w:tcPr>
            <w:tcW w:type="dxa" w:w="936"/>
          </w:tcPr>
          <w:p>
            <w:r/>
            <w:r>
              <w:rPr>
                <w:rFonts w:ascii="Times New Roman" w:hAnsi="Times New Roman"/>
                <w:color w:val="111111"/>
                <w:sz w:val="16"/>
              </w:rPr>
              <w:t>D05</w:t>
            </w:r>
          </w:p>
        </w:tc>
        <w:tc>
          <w:tcPr>
            <w:tcW w:type="dxa" w:w="936"/>
          </w:tcPr>
          <w:p>
            <w:r/>
            <w:r>
              <w:rPr>
                <w:rFonts w:ascii="Times New Roman" w:hAnsi="Times New Roman"/>
                <w:color w:val="111111"/>
                <w:sz w:val="16"/>
              </w:rPr>
              <w:t>Ioannou, 2012</w:t>
            </w:r>
          </w:p>
        </w:tc>
        <w:tc>
          <w:tcPr>
            <w:tcW w:type="dxa" w:w="936"/>
          </w:tcPr>
          <w:p>
            <w:r/>
            <w:r>
              <w:rPr>
                <w:rFonts w:ascii="Times New Roman" w:hAnsi="Times New Roman"/>
                <w:color w:val="111111"/>
                <w:sz w:val="16"/>
              </w:rPr>
              <w:t>UK</w:t>
            </w:r>
          </w:p>
        </w:tc>
        <w:tc>
          <w:tcPr>
            <w:tcW w:type="dxa" w:w="936"/>
          </w:tcPr>
          <w:p>
            <w:r/>
            <w:r>
              <w:rPr>
                <w:rFonts w:ascii="Times New Roman" w:hAnsi="Times New Roman"/>
                <w:color w:val="111111"/>
                <w:sz w:val="16"/>
              </w:rPr>
              <w:t>Cohort</w:t>
            </w:r>
          </w:p>
        </w:tc>
        <w:tc>
          <w:tcPr>
            <w:tcW w:type="dxa" w:w="936"/>
          </w:tcPr>
          <w:p>
            <w:r/>
            <w:r>
              <w:rPr>
                <w:rFonts w:ascii="Times New Roman" w:hAnsi="Times New Roman"/>
                <w:color w:val="111111"/>
                <w:sz w:val="16"/>
              </w:rPr>
              <w:t>357</w:t>
            </w:r>
          </w:p>
        </w:tc>
        <w:tc>
          <w:tcPr>
            <w:tcW w:type="dxa" w:w="936"/>
          </w:tcPr>
          <w:p>
            <w:r/>
            <w:r>
              <w:rPr>
                <w:rFonts w:ascii="Times New Roman" w:hAnsi="Times New Roman"/>
                <w:color w:val="111111"/>
                <w:sz w:val="16"/>
              </w:rPr>
              <w:t>63.0</w:t>
            </w:r>
          </w:p>
        </w:tc>
        <w:tc>
          <w:tcPr>
            <w:tcW w:type="dxa" w:w="936"/>
          </w:tcPr>
          <w:p>
            <w:r/>
            <w:r>
              <w:rPr>
                <w:rFonts w:ascii="Times New Roman" w:hAnsi="Times New Roman"/>
                <w:color w:val="111111"/>
                <w:sz w:val="16"/>
              </w:rPr>
              <w:t>RIA</w:t>
            </w:r>
          </w:p>
        </w:tc>
        <w:tc>
          <w:tcPr>
            <w:tcW w:type="dxa" w:w="936"/>
          </w:tcPr>
          <w:p>
            <w:r/>
            <w:r>
              <w:rPr>
                <w:rFonts w:ascii="Times New Roman" w:hAnsi="Times New Roman"/>
                <w:color w:val="111111"/>
                <w:sz w:val="16"/>
              </w:rPr>
              <w:t>Bone</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D06</w:t>
            </w:r>
          </w:p>
        </w:tc>
        <w:tc>
          <w:tcPr>
            <w:tcW w:type="dxa" w:w="936"/>
            <w:shd w:val="clear" w:color="auto" w:fill="F5F6F8"/>
          </w:tcPr>
          <w:p>
            <w:r/>
            <w:r>
              <w:rPr>
                <w:rFonts w:ascii="Times New Roman" w:hAnsi="Times New Roman"/>
                <w:color w:val="111111"/>
                <w:sz w:val="16"/>
              </w:rPr>
              <w:t>Liu, 2020</w:t>
            </w:r>
          </w:p>
        </w:tc>
        <w:tc>
          <w:tcPr>
            <w:tcW w:type="dxa" w:w="936"/>
            <w:shd w:val="clear" w:color="auto" w:fill="F5F6F8"/>
          </w:tcPr>
          <w:p>
            <w:r/>
            <w:r>
              <w:rPr>
                <w:rFonts w:ascii="Times New Roman" w:hAnsi="Times New Roman"/>
                <w:color w:val="111111"/>
                <w:sz w:val="16"/>
              </w:rPr>
              <w:t>China</w:t>
            </w:r>
          </w:p>
        </w:tc>
        <w:tc>
          <w:tcPr>
            <w:tcW w:type="dxa" w:w="936"/>
            <w:shd w:val="clear" w:color="auto" w:fill="F5F6F8"/>
          </w:tcPr>
          <w:p>
            <w:r/>
            <w:r>
              <w:rPr>
                <w:rFonts w:ascii="Times New Roman" w:hAnsi="Times New Roman"/>
                <w:color w:val="111111"/>
                <w:sz w:val="16"/>
              </w:rPr>
              <w:t>Cohort</w:t>
            </w:r>
          </w:p>
        </w:tc>
        <w:tc>
          <w:tcPr>
            <w:tcW w:type="dxa" w:w="936"/>
            <w:shd w:val="clear" w:color="auto" w:fill="F5F6F8"/>
          </w:tcPr>
          <w:p>
            <w:r/>
            <w:r>
              <w:rPr>
                <w:rFonts w:ascii="Times New Roman" w:hAnsi="Times New Roman"/>
                <w:color w:val="111111"/>
                <w:sz w:val="16"/>
              </w:rPr>
              <w:t>10,913</w:t>
            </w:r>
          </w:p>
        </w:tc>
        <w:tc>
          <w:tcPr>
            <w:tcW w:type="dxa" w:w="936"/>
            <w:shd w:val="clear" w:color="auto" w:fill="F5F6F8"/>
          </w:tcPr>
          <w:p>
            <w:r/>
            <w:r>
              <w:rPr>
                <w:rFonts w:ascii="Times New Roman" w:hAnsi="Times New Roman"/>
                <w:color w:val="111111"/>
                <w:sz w:val="16"/>
              </w:rPr>
              <w:t>66.4</w:t>
            </w:r>
          </w:p>
        </w:tc>
        <w:tc>
          <w:tcPr>
            <w:tcW w:type="dxa" w:w="936"/>
            <w:shd w:val="clear" w:color="auto" w:fill="F5F6F8"/>
          </w:tcPr>
          <w:p>
            <w:r/>
            <w:r>
              <w:rPr>
                <w:rFonts w:ascii="Times New Roman" w:hAnsi="Times New Roman"/>
                <w:color w:val="111111"/>
                <w:sz w:val="16"/>
              </w:rPr>
              <w:t>HPLC-MS/MS</w:t>
            </w:r>
          </w:p>
        </w:tc>
        <w:tc>
          <w:tcPr>
            <w:tcW w:type="dxa" w:w="936"/>
            <w:shd w:val="clear" w:color="auto" w:fill="F5F6F8"/>
          </w:tcPr>
          <w:p>
            <w:r/>
            <w:r>
              <w:rPr>
                <w:rFonts w:ascii="Times New Roman" w:hAnsi="Times New Roman"/>
                <w:color w:val="111111"/>
                <w:sz w:val="16"/>
              </w:rPr>
              <w:t>EFW/Biometry</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8</w:t>
            </w:r>
          </w:p>
        </w:tc>
      </w:tr>
      <w:tr>
        <w:tc>
          <w:tcPr>
            <w:tcW w:type="dxa" w:w="936"/>
          </w:tcPr>
          <w:p>
            <w:r/>
            <w:r>
              <w:rPr>
                <w:rFonts w:ascii="Times New Roman" w:hAnsi="Times New Roman"/>
                <w:color w:val="111111"/>
                <w:sz w:val="16"/>
              </w:rPr>
              <w:t>D07</w:t>
            </w:r>
          </w:p>
        </w:tc>
        <w:tc>
          <w:tcPr>
            <w:tcW w:type="dxa" w:w="936"/>
          </w:tcPr>
          <w:p>
            <w:r/>
            <w:r>
              <w:rPr>
                <w:rFonts w:ascii="Times New Roman" w:hAnsi="Times New Roman"/>
                <w:color w:val="111111"/>
                <w:sz w:val="16"/>
              </w:rPr>
              <w:t>Vafaei, 2019</w:t>
            </w:r>
          </w:p>
        </w:tc>
        <w:tc>
          <w:tcPr>
            <w:tcW w:type="dxa" w:w="936"/>
          </w:tcPr>
          <w:p>
            <w:r/>
            <w:r>
              <w:rPr>
                <w:rFonts w:ascii="Times New Roman" w:hAnsi="Times New Roman"/>
                <w:color w:val="111111"/>
                <w:sz w:val="16"/>
              </w:rPr>
              <w:t>Iran</w:t>
            </w:r>
          </w:p>
        </w:tc>
        <w:tc>
          <w:tcPr>
            <w:tcW w:type="dxa" w:w="936"/>
          </w:tcPr>
          <w:p>
            <w:r/>
            <w:r>
              <w:rPr>
                <w:rFonts w:ascii="Times New Roman" w:hAnsi="Times New Roman"/>
                <w:color w:val="111111"/>
                <w:sz w:val="16"/>
              </w:rPr>
              <w:t>RCT</w:t>
            </w:r>
          </w:p>
        </w:tc>
        <w:tc>
          <w:tcPr>
            <w:tcW w:type="dxa" w:w="936"/>
          </w:tcPr>
          <w:p>
            <w:r/>
            <w:r>
              <w:rPr>
                <w:rFonts w:ascii="Times New Roman" w:hAnsi="Times New Roman"/>
                <w:color w:val="111111"/>
                <w:sz w:val="16"/>
              </w:rPr>
              <w:t>140</w:t>
            </w:r>
          </w:p>
        </w:tc>
        <w:tc>
          <w:tcPr>
            <w:tcW w:type="dxa" w:w="936"/>
          </w:tcPr>
          <w:p>
            <w:r/>
            <w:r>
              <w:rPr>
                <w:rFonts w:ascii="Times New Roman" w:hAnsi="Times New Roman"/>
                <w:color w:val="111111"/>
                <w:sz w:val="16"/>
              </w:rPr>
              <w:t>46.5</w:t>
            </w:r>
          </w:p>
        </w:tc>
        <w:tc>
          <w:tcPr>
            <w:tcW w:type="dxa" w:w="936"/>
          </w:tcPr>
          <w:p>
            <w:r/>
            <w:r>
              <w:rPr>
                <w:rFonts w:ascii="Times New Roman" w:hAnsi="Times New Roman"/>
                <w:color w:val="111111"/>
                <w:sz w:val="16"/>
              </w:rPr>
              <w:t>ECL</w:t>
            </w:r>
          </w:p>
        </w:tc>
        <w:tc>
          <w:tcPr>
            <w:tcW w:type="dxa" w:w="936"/>
          </w:tcPr>
          <w:p>
            <w:r/>
            <w:r>
              <w:rPr>
                <w:rFonts w:ascii="Times New Roman" w:hAnsi="Times New Roman"/>
                <w:color w:val="111111"/>
                <w:sz w:val="16"/>
              </w:rPr>
              <w:t>Bone/FL</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RCT</w:t>
            </w:r>
          </w:p>
        </w:tc>
      </w:tr>
      <w:tr>
        <w:tc>
          <w:tcPr>
            <w:tcW w:type="dxa" w:w="936"/>
            <w:shd w:val="clear" w:color="auto" w:fill="F5F6F8"/>
          </w:tcPr>
          <w:p>
            <w:r/>
            <w:r>
              <w:rPr>
                <w:rFonts w:ascii="Times New Roman" w:hAnsi="Times New Roman"/>
                <w:color w:val="111111"/>
                <w:sz w:val="16"/>
              </w:rPr>
              <w:t>D08</w:t>
            </w:r>
          </w:p>
        </w:tc>
        <w:tc>
          <w:tcPr>
            <w:tcW w:type="dxa" w:w="936"/>
            <w:shd w:val="clear" w:color="auto" w:fill="F5F6F8"/>
          </w:tcPr>
          <w:p>
            <w:r/>
            <w:r>
              <w:rPr>
                <w:rFonts w:ascii="Times New Roman" w:hAnsi="Times New Roman"/>
                <w:color w:val="111111"/>
                <w:sz w:val="16"/>
              </w:rPr>
              <w:t>Lee D.H., 2015</w:t>
            </w:r>
          </w:p>
        </w:tc>
        <w:tc>
          <w:tcPr>
            <w:tcW w:type="dxa" w:w="936"/>
            <w:shd w:val="clear" w:color="auto" w:fill="F5F6F8"/>
          </w:tcPr>
          <w:p>
            <w:r/>
            <w:r>
              <w:rPr>
                <w:rFonts w:ascii="Times New Roman" w:hAnsi="Times New Roman"/>
                <w:color w:val="111111"/>
                <w:sz w:val="16"/>
              </w:rPr>
              <w:t>Korea</w:t>
            </w:r>
          </w:p>
        </w:tc>
        <w:tc>
          <w:tcPr>
            <w:tcW w:type="dxa" w:w="936"/>
            <w:shd w:val="clear" w:color="auto" w:fill="F5F6F8"/>
          </w:tcPr>
          <w:p>
            <w:r/>
            <w:r>
              <w:rPr>
                <w:rFonts w:ascii="Times New Roman" w:hAnsi="Times New Roman"/>
                <w:color w:val="111111"/>
                <w:sz w:val="16"/>
              </w:rPr>
              <w:t>Cohort</w:t>
            </w:r>
          </w:p>
        </w:tc>
        <w:tc>
          <w:tcPr>
            <w:tcW w:type="dxa" w:w="936"/>
            <w:shd w:val="clear" w:color="auto" w:fill="F5F6F8"/>
          </w:tcPr>
          <w:p>
            <w:r/>
            <w:r>
              <w:rPr>
                <w:rFonts w:ascii="Times New Roman" w:hAnsi="Times New Roman"/>
                <w:color w:val="111111"/>
                <w:sz w:val="16"/>
              </w:rPr>
              <w:t>275</w:t>
            </w:r>
          </w:p>
        </w:tc>
        <w:tc>
          <w:tcPr>
            <w:tcW w:type="dxa" w:w="936"/>
            <w:shd w:val="clear" w:color="auto" w:fill="F5F6F8"/>
          </w:tcPr>
          <w:p>
            <w:r/>
            <w:r>
              <w:rPr>
                <w:rFonts w:ascii="Times New Roman" w:hAnsi="Times New Roman"/>
                <w:color w:val="111111"/>
                <w:sz w:val="16"/>
              </w:rPr>
              <w:t>—</w:t>
            </w:r>
          </w:p>
        </w:tc>
        <w:tc>
          <w:tcPr>
            <w:tcW w:type="dxa" w:w="936"/>
            <w:shd w:val="clear" w:color="auto" w:fill="F5F6F8"/>
          </w:tcPr>
          <w:p>
            <w:r/>
            <w:r>
              <w:rPr>
                <w:rFonts w:ascii="Times New Roman" w:hAnsi="Times New Roman"/>
                <w:color w:val="111111"/>
                <w:sz w:val="16"/>
              </w:rPr>
              <w:t>ECLIA</w:t>
            </w:r>
          </w:p>
        </w:tc>
        <w:tc>
          <w:tcPr>
            <w:tcW w:type="dxa" w:w="936"/>
            <w:shd w:val="clear" w:color="auto" w:fill="F5F6F8"/>
          </w:tcPr>
          <w:p>
            <w:r/>
            <w:r>
              <w:rPr>
                <w:rFonts w:ascii="Times New Roman" w:hAnsi="Times New Roman"/>
                <w:color w:val="111111"/>
                <w:sz w:val="16"/>
              </w:rPr>
              <w:t>Biometry</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7</w:t>
            </w:r>
          </w:p>
        </w:tc>
      </w:tr>
      <w:tr>
        <w:tc>
          <w:tcPr>
            <w:tcW w:type="dxa" w:w="936"/>
          </w:tcPr>
          <w:p>
            <w:r/>
            <w:r>
              <w:rPr>
                <w:rFonts w:ascii="Times New Roman" w:hAnsi="Times New Roman"/>
                <w:color w:val="111111"/>
                <w:sz w:val="16"/>
              </w:rPr>
              <w:t>D09</w:t>
            </w:r>
          </w:p>
        </w:tc>
        <w:tc>
          <w:tcPr>
            <w:tcW w:type="dxa" w:w="936"/>
          </w:tcPr>
          <w:p>
            <w:r/>
            <w:r>
              <w:rPr>
                <w:rFonts w:ascii="Times New Roman" w:hAnsi="Times New Roman"/>
                <w:color w:val="111111"/>
                <w:sz w:val="16"/>
              </w:rPr>
              <w:t>Beck, 2025</w:t>
            </w:r>
          </w:p>
        </w:tc>
        <w:tc>
          <w:tcPr>
            <w:tcW w:type="dxa" w:w="936"/>
          </w:tcPr>
          <w:p>
            <w:r/>
            <w:r>
              <w:rPr>
                <w:rFonts w:ascii="Times New Roman" w:hAnsi="Times New Roman"/>
                <w:color w:val="111111"/>
                <w:sz w:val="16"/>
              </w:rPr>
              <w:t>USA</w:t>
            </w:r>
          </w:p>
        </w:tc>
        <w:tc>
          <w:tcPr>
            <w:tcW w:type="dxa" w:w="936"/>
          </w:tcPr>
          <w:p>
            <w:r/>
            <w:r>
              <w:rPr>
                <w:rFonts w:ascii="Times New Roman" w:hAnsi="Times New Roman"/>
                <w:color w:val="111111"/>
                <w:sz w:val="16"/>
              </w:rPr>
              <w:t>Cohort</w:t>
            </w:r>
          </w:p>
        </w:tc>
        <w:tc>
          <w:tcPr>
            <w:tcW w:type="dxa" w:w="936"/>
          </w:tcPr>
          <w:p>
            <w:r/>
            <w:r>
              <w:rPr>
                <w:rFonts w:ascii="Times New Roman" w:hAnsi="Times New Roman"/>
                <w:color w:val="111111"/>
                <w:sz w:val="16"/>
              </w:rPr>
              <w:t>351</w:t>
            </w:r>
          </w:p>
        </w:tc>
        <w:tc>
          <w:tcPr>
            <w:tcW w:type="dxa" w:w="936"/>
          </w:tcPr>
          <w:p>
            <w:r/>
            <w:r>
              <w:rPr>
                <w:rFonts w:ascii="Times New Roman" w:hAnsi="Times New Roman"/>
                <w:color w:val="111111"/>
                <w:sz w:val="16"/>
              </w:rPr>
              <w:t>68.1</w:t>
            </w:r>
          </w:p>
        </w:tc>
        <w:tc>
          <w:tcPr>
            <w:tcW w:type="dxa" w:w="936"/>
          </w:tcPr>
          <w:p>
            <w:r/>
            <w:r>
              <w:rPr>
                <w:rFonts w:ascii="Times New Roman" w:hAnsi="Times New Roman"/>
                <w:color w:val="111111"/>
                <w:sz w:val="16"/>
              </w:rPr>
              <w:t>HPLC-MS/MS</w:t>
            </w:r>
          </w:p>
        </w:tc>
        <w:tc>
          <w:tcPr>
            <w:tcW w:type="dxa" w:w="936"/>
          </w:tcPr>
          <w:p>
            <w:r/>
            <w:r>
              <w:rPr>
                <w:rFonts w:ascii="Times New Roman" w:hAnsi="Times New Roman"/>
                <w:color w:val="111111"/>
                <w:sz w:val="16"/>
              </w:rPr>
              <w:t>SGA/Length</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D10</w:t>
            </w:r>
          </w:p>
        </w:tc>
        <w:tc>
          <w:tcPr>
            <w:tcW w:type="dxa" w:w="936"/>
            <w:shd w:val="clear" w:color="auto" w:fill="F5F6F8"/>
          </w:tcPr>
          <w:p>
            <w:r/>
            <w:r>
              <w:rPr>
                <w:rFonts w:ascii="Times New Roman" w:hAnsi="Times New Roman"/>
                <w:color w:val="111111"/>
                <w:sz w:val="16"/>
              </w:rPr>
              <w:t>Srilekha, 2021</w:t>
            </w:r>
          </w:p>
        </w:tc>
        <w:tc>
          <w:tcPr>
            <w:tcW w:type="dxa" w:w="936"/>
            <w:shd w:val="clear" w:color="auto" w:fill="F5F6F8"/>
          </w:tcPr>
          <w:p>
            <w:r/>
            <w:r>
              <w:rPr>
                <w:rFonts w:ascii="Times New Roman" w:hAnsi="Times New Roman"/>
                <w:color w:val="111111"/>
                <w:sz w:val="16"/>
              </w:rPr>
              <w:t>India</w:t>
            </w:r>
          </w:p>
        </w:tc>
        <w:tc>
          <w:tcPr>
            <w:tcW w:type="dxa" w:w="936"/>
            <w:shd w:val="clear" w:color="auto" w:fill="F5F6F8"/>
          </w:tcPr>
          <w:p>
            <w:r/>
            <w:r>
              <w:rPr>
                <w:rFonts w:ascii="Times New Roman" w:hAnsi="Times New Roman"/>
                <w:color w:val="111111"/>
                <w:sz w:val="16"/>
              </w:rPr>
              <w:t>RCT</w:t>
            </w:r>
          </w:p>
        </w:tc>
        <w:tc>
          <w:tcPr>
            <w:tcW w:type="dxa" w:w="936"/>
            <w:shd w:val="clear" w:color="auto" w:fill="F5F6F8"/>
          </w:tcPr>
          <w:p>
            <w:r/>
            <w:r>
              <w:rPr>
                <w:rFonts w:ascii="Times New Roman" w:hAnsi="Times New Roman"/>
                <w:color w:val="111111"/>
                <w:sz w:val="16"/>
              </w:rPr>
              <w:t>100</w:t>
            </w:r>
          </w:p>
        </w:tc>
        <w:tc>
          <w:tcPr>
            <w:tcW w:type="dxa" w:w="936"/>
            <w:shd w:val="clear" w:color="auto" w:fill="F5F6F8"/>
          </w:tcPr>
          <w:p>
            <w:r/>
            <w:r>
              <w:rPr>
                <w:rFonts w:ascii="Times New Roman" w:hAnsi="Times New Roman"/>
                <w:color w:val="111111"/>
                <w:sz w:val="16"/>
              </w:rPr>
              <w:t>53.5</w:t>
            </w:r>
          </w:p>
        </w:tc>
        <w:tc>
          <w:tcPr>
            <w:tcW w:type="dxa" w:w="936"/>
            <w:shd w:val="clear" w:color="auto" w:fill="F5F6F8"/>
          </w:tcPr>
          <w:p>
            <w:r/>
            <w:r>
              <w:rPr>
                <w:rFonts w:ascii="Times New Roman" w:hAnsi="Times New Roman"/>
                <w:color w:val="111111"/>
                <w:sz w:val="16"/>
              </w:rPr>
              <w:t>CLIA</w:t>
            </w:r>
          </w:p>
        </w:tc>
        <w:tc>
          <w:tcPr>
            <w:tcW w:type="dxa" w:w="936"/>
            <w:shd w:val="clear" w:color="auto" w:fill="F5F6F8"/>
          </w:tcPr>
          <w:p>
            <w:r/>
            <w:r>
              <w:rPr>
                <w:rFonts w:ascii="Times New Roman" w:hAnsi="Times New Roman"/>
                <w:color w:val="111111"/>
                <w:sz w:val="16"/>
              </w:rPr>
              <w:t>EFW/FL/BPD</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RCT</w:t>
            </w:r>
          </w:p>
        </w:tc>
      </w:tr>
      <w:tr>
        <w:tc>
          <w:tcPr>
            <w:tcW w:type="dxa" w:w="936"/>
          </w:tcPr>
          <w:p>
            <w:r/>
            <w:r>
              <w:rPr>
                <w:rFonts w:ascii="Times New Roman" w:hAnsi="Times New Roman"/>
                <w:color w:val="111111"/>
                <w:sz w:val="16"/>
              </w:rPr>
              <w:t>D11</w:t>
            </w:r>
          </w:p>
        </w:tc>
        <w:tc>
          <w:tcPr>
            <w:tcW w:type="dxa" w:w="936"/>
          </w:tcPr>
          <w:p>
            <w:r/>
            <w:r>
              <w:rPr>
                <w:rFonts w:ascii="Times New Roman" w:hAnsi="Times New Roman"/>
                <w:color w:val="111111"/>
                <w:sz w:val="16"/>
              </w:rPr>
              <w:t>Vestergaard, 2021</w:t>
            </w:r>
          </w:p>
        </w:tc>
        <w:tc>
          <w:tcPr>
            <w:tcW w:type="dxa" w:w="936"/>
          </w:tcPr>
          <w:p>
            <w:r/>
            <w:r>
              <w:rPr>
                <w:rFonts w:ascii="Times New Roman" w:hAnsi="Times New Roman"/>
                <w:color w:val="111111"/>
                <w:sz w:val="16"/>
              </w:rPr>
              <w:t>Denmark</w:t>
            </w:r>
          </w:p>
        </w:tc>
        <w:tc>
          <w:tcPr>
            <w:tcW w:type="dxa" w:w="936"/>
          </w:tcPr>
          <w:p>
            <w:r/>
            <w:r>
              <w:rPr>
                <w:rFonts w:ascii="Times New Roman" w:hAnsi="Times New Roman"/>
                <w:color w:val="111111"/>
                <w:sz w:val="16"/>
              </w:rPr>
              <w:t>Prospective Cohort</w:t>
            </w:r>
          </w:p>
        </w:tc>
        <w:tc>
          <w:tcPr>
            <w:tcW w:type="dxa" w:w="936"/>
          </w:tcPr>
          <w:p>
            <w:r/>
            <w:r>
              <w:rPr>
                <w:rFonts w:ascii="Times New Roman" w:hAnsi="Times New Roman"/>
                <w:color w:val="111111"/>
                <w:sz w:val="16"/>
              </w:rPr>
              <w:t>297</w:t>
            </w:r>
          </w:p>
        </w:tc>
        <w:tc>
          <w:tcPr>
            <w:tcW w:type="dxa" w:w="936"/>
          </w:tcPr>
          <w:p>
            <w:r/>
            <w:r>
              <w:rPr>
                <w:rFonts w:ascii="Times New Roman" w:hAnsi="Times New Roman"/>
                <w:color w:val="111111"/>
                <w:sz w:val="16"/>
              </w:rPr>
              <w:t>79.0</w:t>
            </w:r>
          </w:p>
        </w:tc>
        <w:tc>
          <w:tcPr>
            <w:tcW w:type="dxa" w:w="936"/>
          </w:tcPr>
          <w:p>
            <w:r/>
            <w:r>
              <w:rPr>
                <w:rFonts w:ascii="Times New Roman" w:hAnsi="Times New Roman"/>
                <w:color w:val="111111"/>
                <w:sz w:val="16"/>
              </w:rPr>
              <w:t>HPLC-MS/MS</w:t>
            </w:r>
          </w:p>
        </w:tc>
        <w:tc>
          <w:tcPr>
            <w:tcW w:type="dxa" w:w="936"/>
          </w:tcPr>
          <w:p>
            <w:r/>
            <w:r>
              <w:rPr>
                <w:rFonts w:ascii="Times New Roman" w:hAnsi="Times New Roman"/>
                <w:color w:val="111111"/>
                <w:sz w:val="16"/>
              </w:rPr>
              <w:t>SGA/FGR</w:t>
            </w:r>
          </w:p>
        </w:tc>
        <w:tc>
          <w:tcPr>
            <w:tcW w:type="dxa" w:w="936"/>
          </w:tcPr>
          <w:p>
            <w:r/>
            <w:r>
              <w:rPr>
                <w:rFonts w:ascii="Times New Roman" w:hAnsi="Times New Roman"/>
                <w:color w:val="111111"/>
                <w:sz w:val="16"/>
              </w:rPr>
              <w:t>No</w:t>
            </w:r>
          </w:p>
        </w:tc>
        <w:tc>
          <w:tcPr>
            <w:tcW w:type="dxa" w:w="936"/>
          </w:tcPr>
          <w:p>
            <w:r/>
            <w:r>
              <w:rPr>
                <w:rFonts w:ascii="Times New Roman" w:hAnsi="Times New Roman"/>
                <w:color w:val="111111"/>
                <w:sz w:val="16"/>
              </w:rPr>
              <w:t>7</w:t>
            </w:r>
          </w:p>
        </w:tc>
      </w:tr>
      <w:tr>
        <w:tc>
          <w:tcPr>
            <w:tcW w:type="dxa" w:w="936"/>
            <w:shd w:val="clear" w:color="auto" w:fill="F5F6F8"/>
          </w:tcPr>
          <w:p>
            <w:r/>
            <w:r>
              <w:rPr>
                <w:rFonts w:ascii="Times New Roman" w:hAnsi="Times New Roman"/>
                <w:color w:val="111111"/>
                <w:sz w:val="16"/>
              </w:rPr>
              <w:t>D12</w:t>
            </w:r>
          </w:p>
        </w:tc>
        <w:tc>
          <w:tcPr>
            <w:tcW w:type="dxa" w:w="936"/>
            <w:shd w:val="clear" w:color="auto" w:fill="F5F6F8"/>
          </w:tcPr>
          <w:p>
            <w:r/>
            <w:r>
              <w:rPr>
                <w:rFonts w:ascii="Times New Roman" w:hAnsi="Times New Roman"/>
                <w:color w:val="111111"/>
                <w:sz w:val="16"/>
              </w:rPr>
              <w:t>Park, 2014</w:t>
            </w:r>
          </w:p>
        </w:tc>
        <w:tc>
          <w:tcPr>
            <w:tcW w:type="dxa" w:w="936"/>
            <w:shd w:val="clear" w:color="auto" w:fill="F5F6F8"/>
          </w:tcPr>
          <w:p>
            <w:r/>
            <w:r>
              <w:rPr>
                <w:rFonts w:ascii="Times New Roman" w:hAnsi="Times New Roman"/>
                <w:color w:val="111111"/>
                <w:sz w:val="16"/>
              </w:rPr>
              <w:t>Korea</w:t>
            </w:r>
          </w:p>
        </w:tc>
        <w:tc>
          <w:tcPr>
            <w:tcW w:type="dxa" w:w="936"/>
            <w:shd w:val="clear" w:color="auto" w:fill="F5F6F8"/>
          </w:tcPr>
          <w:p>
            <w:r/>
            <w:r>
              <w:rPr>
                <w:rFonts w:ascii="Times New Roman" w:hAnsi="Times New Roman"/>
                <w:color w:val="111111"/>
                <w:sz w:val="16"/>
              </w:rPr>
              <w:t>Prospective Cohort</w:t>
            </w:r>
          </w:p>
        </w:tc>
        <w:tc>
          <w:tcPr>
            <w:tcW w:type="dxa" w:w="936"/>
            <w:shd w:val="clear" w:color="auto" w:fill="F5F6F8"/>
          </w:tcPr>
          <w:p>
            <w:r/>
            <w:r>
              <w:rPr>
                <w:rFonts w:ascii="Times New Roman" w:hAnsi="Times New Roman"/>
                <w:color w:val="111111"/>
                <w:sz w:val="16"/>
              </w:rPr>
              <w:t>523</w:t>
            </w:r>
          </w:p>
        </w:tc>
        <w:tc>
          <w:tcPr>
            <w:tcW w:type="dxa" w:w="936"/>
            <w:shd w:val="clear" w:color="auto" w:fill="F5F6F8"/>
          </w:tcPr>
          <w:p>
            <w:r/>
            <w:r>
              <w:rPr>
                <w:rFonts w:ascii="Times New Roman" w:hAnsi="Times New Roman"/>
                <w:color w:val="111111"/>
                <w:sz w:val="16"/>
              </w:rPr>
              <w:t>—</w:t>
            </w:r>
          </w:p>
        </w:tc>
        <w:tc>
          <w:tcPr>
            <w:tcW w:type="dxa" w:w="936"/>
            <w:shd w:val="clear" w:color="auto" w:fill="F5F6F8"/>
          </w:tcPr>
          <w:p>
            <w:r/>
            <w:r>
              <w:rPr>
                <w:rFonts w:ascii="Times New Roman" w:hAnsi="Times New Roman"/>
                <w:color w:val="111111"/>
                <w:sz w:val="16"/>
              </w:rPr>
              <w:t>RIA</w:t>
            </w:r>
          </w:p>
        </w:tc>
        <w:tc>
          <w:tcPr>
            <w:tcW w:type="dxa" w:w="936"/>
            <w:shd w:val="clear" w:color="auto" w:fill="F5F6F8"/>
          </w:tcPr>
          <w:p>
            <w:r/>
            <w:r>
              <w:rPr>
                <w:rFonts w:ascii="Times New Roman" w:hAnsi="Times New Roman"/>
                <w:color w:val="111111"/>
                <w:sz w:val="16"/>
              </w:rPr>
              <w:t>GDM/biometry</w:t>
            </w:r>
          </w:p>
        </w:tc>
        <w:tc>
          <w:tcPr>
            <w:tcW w:type="dxa" w:w="936"/>
            <w:shd w:val="clear" w:color="auto" w:fill="F5F6F8"/>
          </w:tcPr>
          <w:p>
            <w:r/>
            <w:r>
              <w:rPr>
                <w:rFonts w:ascii="Times New Roman" w:hAnsi="Times New Roman"/>
                <w:color w:val="111111"/>
                <w:sz w:val="16"/>
              </w:rPr>
              <w:t>No</w:t>
            </w:r>
          </w:p>
        </w:tc>
        <w:tc>
          <w:tcPr>
            <w:tcW w:type="dxa" w:w="936"/>
            <w:shd w:val="clear" w:color="auto" w:fill="F5F6F8"/>
          </w:tcPr>
          <w:p>
            <w:r/>
            <w:r>
              <w:rPr>
                <w:rFonts w:ascii="Times New Roman" w:hAnsi="Times New Roman"/>
                <w:color w:val="111111"/>
                <w:sz w:val="16"/>
              </w:rPr>
              <w:t>8</w:t>
            </w:r>
          </w:p>
        </w:tc>
      </w:tr>
      <w:tr>
        <w:tc>
          <w:tcPr>
            <w:tcW w:type="dxa" w:w="936"/>
          </w:tcPr>
          <w:p>
            <w:r/>
            <w:r>
              <w:rPr>
                <w:rFonts w:ascii="Times New Roman" w:hAnsi="Times New Roman"/>
                <w:color w:val="111111"/>
                <w:sz w:val="16"/>
              </w:rPr>
              <w:t>D13</w:t>
            </w:r>
          </w:p>
        </w:tc>
        <w:tc>
          <w:tcPr>
            <w:tcW w:type="dxa" w:w="936"/>
          </w:tcPr>
          <w:p>
            <w:r/>
            <w:r>
              <w:rPr>
                <w:rFonts w:ascii="Times New Roman" w:hAnsi="Times New Roman"/>
                <w:color w:val="111111"/>
                <w:sz w:val="16"/>
              </w:rPr>
              <w:t>Young, 2012</w:t>
            </w:r>
          </w:p>
        </w:tc>
        <w:tc>
          <w:tcPr>
            <w:tcW w:type="dxa" w:w="936"/>
          </w:tcPr>
          <w:p>
            <w:r/>
            <w:r>
              <w:rPr>
                <w:rFonts w:ascii="Times New Roman" w:hAnsi="Times New Roman"/>
                <w:color w:val="111111"/>
                <w:sz w:val="16"/>
              </w:rPr>
              <w:t>USA</w:t>
            </w:r>
          </w:p>
        </w:tc>
        <w:tc>
          <w:tcPr>
            <w:tcW w:type="dxa" w:w="936"/>
          </w:tcPr>
          <w:p>
            <w:r/>
            <w:r>
              <w:rPr>
                <w:rFonts w:ascii="Times New Roman" w:hAnsi="Times New Roman"/>
                <w:color w:val="111111"/>
                <w:sz w:val="16"/>
              </w:rPr>
              <w:t>Prospective Cohort</w:t>
            </w:r>
          </w:p>
        </w:tc>
        <w:tc>
          <w:tcPr>
            <w:tcW w:type="dxa" w:w="936"/>
          </w:tcPr>
          <w:p>
            <w:r/>
            <w:r>
              <w:rPr>
                <w:rFonts w:ascii="Times New Roman" w:hAnsi="Times New Roman"/>
                <w:color w:val="111111"/>
                <w:sz w:val="16"/>
              </w:rPr>
              <w:t>171</w:t>
            </w:r>
          </w:p>
        </w:tc>
        <w:tc>
          <w:tcPr>
            <w:tcW w:type="dxa" w:w="936"/>
          </w:tcPr>
          <w:p>
            <w:r/>
            <w:r>
              <w:rPr>
                <w:rFonts w:ascii="Times New Roman" w:hAnsi="Times New Roman"/>
                <w:color w:val="111111"/>
                <w:sz w:val="16"/>
              </w:rPr>
              <w:t>54.7</w:t>
            </w:r>
          </w:p>
        </w:tc>
        <w:tc>
          <w:tcPr>
            <w:tcW w:type="dxa" w:w="936"/>
          </w:tcPr>
          <w:p>
            <w:r/>
            <w:r>
              <w:rPr>
                <w:rFonts w:ascii="Times New Roman" w:hAnsi="Times New Roman"/>
                <w:color w:val="111111"/>
                <w:sz w:val="16"/>
              </w:rPr>
              <w:t>RIA</w:t>
            </w:r>
          </w:p>
        </w:tc>
        <w:tc>
          <w:tcPr>
            <w:tcW w:type="dxa" w:w="936"/>
          </w:tcPr>
          <w:p>
            <w:r/>
            <w:r>
              <w:rPr>
                <w:rFonts w:ascii="Times New Roman" w:hAnsi="Times New Roman"/>
                <w:color w:val="111111"/>
                <w:sz w:val="16"/>
              </w:rPr>
              <w:t>Bone/FL</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D14</w:t>
            </w:r>
          </w:p>
        </w:tc>
        <w:tc>
          <w:tcPr>
            <w:tcW w:type="dxa" w:w="936"/>
            <w:shd w:val="clear" w:color="auto" w:fill="F5F6F8"/>
          </w:tcPr>
          <w:p>
            <w:r/>
            <w:r>
              <w:rPr>
                <w:rFonts w:ascii="Times New Roman" w:hAnsi="Times New Roman"/>
                <w:color w:val="111111"/>
                <w:sz w:val="16"/>
              </w:rPr>
              <w:t>Morales, 2015</w:t>
            </w:r>
          </w:p>
        </w:tc>
        <w:tc>
          <w:tcPr>
            <w:tcW w:type="dxa" w:w="936"/>
            <w:shd w:val="clear" w:color="auto" w:fill="F5F6F8"/>
          </w:tcPr>
          <w:p>
            <w:r/>
            <w:r>
              <w:rPr>
                <w:rFonts w:ascii="Times New Roman" w:hAnsi="Times New Roman"/>
                <w:color w:val="111111"/>
                <w:sz w:val="16"/>
              </w:rPr>
              <w:t>Spain</w:t>
            </w:r>
          </w:p>
        </w:tc>
        <w:tc>
          <w:tcPr>
            <w:tcW w:type="dxa" w:w="936"/>
            <w:shd w:val="clear" w:color="auto" w:fill="F5F6F8"/>
          </w:tcPr>
          <w:p>
            <w:r/>
            <w:r>
              <w:rPr>
                <w:rFonts w:ascii="Times New Roman" w:hAnsi="Times New Roman"/>
                <w:color w:val="111111"/>
                <w:sz w:val="16"/>
              </w:rPr>
              <w:t>Population Cohort</w:t>
            </w:r>
          </w:p>
        </w:tc>
        <w:tc>
          <w:tcPr>
            <w:tcW w:type="dxa" w:w="936"/>
            <w:shd w:val="clear" w:color="auto" w:fill="F5F6F8"/>
          </w:tcPr>
          <w:p>
            <w:r/>
            <w:r>
              <w:rPr>
                <w:rFonts w:ascii="Times New Roman" w:hAnsi="Times New Roman"/>
                <w:color w:val="111111"/>
                <w:sz w:val="16"/>
              </w:rPr>
              <w:t>2,358</w:t>
            </w:r>
          </w:p>
        </w:tc>
        <w:tc>
          <w:tcPr>
            <w:tcW w:type="dxa" w:w="936"/>
            <w:shd w:val="clear" w:color="auto" w:fill="F5F6F8"/>
          </w:tcPr>
          <w:p>
            <w:r/>
            <w:r>
              <w:rPr>
                <w:rFonts w:ascii="Times New Roman" w:hAnsi="Times New Roman"/>
                <w:color w:val="111111"/>
                <w:sz w:val="16"/>
              </w:rPr>
              <w:t>73.5</w:t>
            </w:r>
          </w:p>
        </w:tc>
        <w:tc>
          <w:tcPr>
            <w:tcW w:type="dxa" w:w="936"/>
            <w:shd w:val="clear" w:color="auto" w:fill="F5F6F8"/>
          </w:tcPr>
          <w:p>
            <w:r/>
            <w:r>
              <w:rPr>
                <w:rFonts w:ascii="Times New Roman" w:hAnsi="Times New Roman"/>
                <w:color w:val="111111"/>
                <w:sz w:val="16"/>
              </w:rPr>
              <w:t>HPLC</w:t>
            </w:r>
          </w:p>
        </w:tc>
        <w:tc>
          <w:tcPr>
            <w:tcW w:type="dxa" w:w="936"/>
            <w:shd w:val="clear" w:color="auto" w:fill="F5F6F8"/>
          </w:tcPr>
          <w:p>
            <w:r/>
            <w:r>
              <w:rPr>
                <w:rFonts w:ascii="Times New Roman" w:hAnsi="Times New Roman"/>
                <w:color w:val="111111"/>
                <w:sz w:val="16"/>
              </w:rPr>
              <w:t>Biometry/Adip.</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8</w:t>
            </w:r>
          </w:p>
        </w:tc>
      </w:tr>
      <w:tr>
        <w:tc>
          <w:tcPr>
            <w:tcW w:type="dxa" w:w="936"/>
          </w:tcPr>
          <w:p>
            <w:r/>
            <w:r>
              <w:rPr>
                <w:rFonts w:ascii="Times New Roman" w:hAnsi="Times New Roman"/>
                <w:color w:val="111111"/>
                <w:sz w:val="16"/>
              </w:rPr>
              <w:t>D15</w:t>
            </w:r>
          </w:p>
        </w:tc>
        <w:tc>
          <w:tcPr>
            <w:tcW w:type="dxa" w:w="936"/>
          </w:tcPr>
          <w:p>
            <w:r/>
            <w:r>
              <w:rPr>
                <w:rFonts w:ascii="Times New Roman" w:hAnsi="Times New Roman"/>
                <w:color w:val="111111"/>
                <w:sz w:val="16"/>
              </w:rPr>
              <w:t>Akita, 2025</w:t>
            </w:r>
          </w:p>
        </w:tc>
        <w:tc>
          <w:tcPr>
            <w:tcW w:type="dxa" w:w="936"/>
          </w:tcPr>
          <w:p>
            <w:r/>
            <w:r>
              <w:rPr>
                <w:rFonts w:ascii="Times New Roman" w:hAnsi="Times New Roman"/>
                <w:color w:val="111111"/>
                <w:sz w:val="16"/>
              </w:rPr>
              <w:t>Japan</w:t>
            </w:r>
          </w:p>
        </w:tc>
        <w:tc>
          <w:tcPr>
            <w:tcW w:type="dxa" w:w="936"/>
          </w:tcPr>
          <w:p>
            <w:r/>
            <w:r>
              <w:rPr>
                <w:rFonts w:ascii="Times New Roman" w:hAnsi="Times New Roman"/>
                <w:color w:val="111111"/>
                <w:sz w:val="16"/>
              </w:rPr>
              <w:t>Cohort</w:t>
            </w:r>
          </w:p>
        </w:tc>
        <w:tc>
          <w:tcPr>
            <w:tcW w:type="dxa" w:w="936"/>
          </w:tcPr>
          <w:p>
            <w:r/>
            <w:r>
              <w:rPr>
                <w:rFonts w:ascii="Times New Roman" w:hAnsi="Times New Roman"/>
                <w:color w:val="111111"/>
                <w:sz w:val="16"/>
              </w:rPr>
              <w:t>89</w:t>
            </w:r>
          </w:p>
        </w:tc>
        <w:tc>
          <w:tcPr>
            <w:tcW w:type="dxa" w:w="936"/>
          </w:tcPr>
          <w:p>
            <w:r/>
            <w:r>
              <w:rPr>
                <w:rFonts w:ascii="Times New Roman" w:hAnsi="Times New Roman"/>
                <w:color w:val="111111"/>
                <w:sz w:val="16"/>
              </w:rPr>
              <w:t>44.0</w:t>
            </w:r>
          </w:p>
        </w:tc>
        <w:tc>
          <w:tcPr>
            <w:tcW w:type="dxa" w:w="936"/>
          </w:tcPr>
          <w:p>
            <w:r/>
            <w:r>
              <w:rPr>
                <w:rFonts w:ascii="Times New Roman" w:hAnsi="Times New Roman"/>
                <w:color w:val="111111"/>
                <w:sz w:val="16"/>
              </w:rPr>
              <w:t>CLIA</w:t>
            </w:r>
          </w:p>
        </w:tc>
        <w:tc>
          <w:tcPr>
            <w:tcW w:type="dxa" w:w="936"/>
          </w:tcPr>
          <w:p>
            <w:r/>
            <w:r>
              <w:rPr>
                <w:rFonts w:ascii="Times New Roman" w:hAnsi="Times New Roman"/>
                <w:color w:val="111111"/>
                <w:sz w:val="16"/>
              </w:rPr>
              <w:t>Adiposity</w:t>
            </w:r>
          </w:p>
        </w:tc>
        <w:tc>
          <w:tcPr>
            <w:tcW w:type="dxa" w:w="936"/>
          </w:tcPr>
          <w:p>
            <w:r/>
            <w:r>
              <w:rPr>
                <w:rFonts w:ascii="Times New Roman" w:hAnsi="Times New Roman"/>
                <w:color w:val="111111"/>
                <w:sz w:val="16"/>
              </w:rPr>
              <w:t>No</w:t>
            </w:r>
          </w:p>
        </w:tc>
        <w:tc>
          <w:tcPr>
            <w:tcW w:type="dxa" w:w="936"/>
          </w:tcPr>
          <w:p>
            <w:r/>
            <w:r>
              <w:rPr>
                <w:rFonts w:ascii="Times New Roman" w:hAnsi="Times New Roman"/>
                <w:color w:val="111111"/>
                <w:sz w:val="16"/>
              </w:rPr>
              <w:t>7</w:t>
            </w:r>
          </w:p>
        </w:tc>
      </w:tr>
      <w:tr>
        <w:tc>
          <w:tcPr>
            <w:tcW w:type="dxa" w:w="936"/>
            <w:shd w:val="clear" w:color="auto" w:fill="F5F6F8"/>
          </w:tcPr>
          <w:p>
            <w:r/>
            <w:r>
              <w:rPr>
                <w:rFonts w:ascii="Times New Roman" w:hAnsi="Times New Roman"/>
                <w:color w:val="111111"/>
                <w:sz w:val="16"/>
              </w:rPr>
              <w:t>D16</w:t>
            </w:r>
          </w:p>
        </w:tc>
        <w:tc>
          <w:tcPr>
            <w:tcW w:type="dxa" w:w="936"/>
            <w:shd w:val="clear" w:color="auto" w:fill="F5F6F8"/>
          </w:tcPr>
          <w:p>
            <w:r/>
            <w:r>
              <w:rPr>
                <w:rFonts w:ascii="Times New Roman" w:hAnsi="Times New Roman"/>
                <w:color w:val="111111"/>
                <w:sz w:val="16"/>
              </w:rPr>
              <w:t>Ge, 2024</w:t>
            </w:r>
          </w:p>
        </w:tc>
        <w:tc>
          <w:tcPr>
            <w:tcW w:type="dxa" w:w="936"/>
            <w:shd w:val="clear" w:color="auto" w:fill="F5F6F8"/>
          </w:tcPr>
          <w:p>
            <w:r/>
            <w:r>
              <w:rPr>
                <w:rFonts w:ascii="Times New Roman" w:hAnsi="Times New Roman"/>
                <w:color w:val="111111"/>
                <w:sz w:val="16"/>
              </w:rPr>
              <w:t>China</w:t>
            </w:r>
          </w:p>
        </w:tc>
        <w:tc>
          <w:tcPr>
            <w:tcW w:type="dxa" w:w="936"/>
            <w:shd w:val="clear" w:color="auto" w:fill="F5F6F8"/>
          </w:tcPr>
          <w:p>
            <w:r/>
            <w:r>
              <w:rPr>
                <w:rFonts w:ascii="Times New Roman" w:hAnsi="Times New Roman"/>
                <w:color w:val="111111"/>
                <w:sz w:val="16"/>
              </w:rPr>
              <w:t>Retrospective</w:t>
            </w:r>
          </w:p>
        </w:tc>
        <w:tc>
          <w:tcPr>
            <w:tcW w:type="dxa" w:w="936"/>
            <w:shd w:val="clear" w:color="auto" w:fill="F5F6F8"/>
          </w:tcPr>
          <w:p>
            <w:r/>
            <w:r>
              <w:rPr>
                <w:rFonts w:ascii="Times New Roman" w:hAnsi="Times New Roman"/>
                <w:color w:val="111111"/>
                <w:sz w:val="16"/>
              </w:rPr>
              <w:t>300</w:t>
            </w:r>
          </w:p>
        </w:tc>
        <w:tc>
          <w:tcPr>
            <w:tcW w:type="dxa" w:w="936"/>
            <w:shd w:val="clear" w:color="auto" w:fill="F5F6F8"/>
          </w:tcPr>
          <w:p>
            <w:r/>
            <w:r>
              <w:rPr>
                <w:rFonts w:ascii="Times New Roman" w:hAnsi="Times New Roman"/>
                <w:color w:val="111111"/>
                <w:sz w:val="16"/>
              </w:rPr>
              <w:t>65.0</w:t>
            </w:r>
          </w:p>
        </w:tc>
        <w:tc>
          <w:tcPr>
            <w:tcW w:type="dxa" w:w="936"/>
            <w:shd w:val="clear" w:color="auto" w:fill="F5F6F8"/>
          </w:tcPr>
          <w:p>
            <w:r/>
            <w:r>
              <w:rPr>
                <w:rFonts w:ascii="Times New Roman" w:hAnsi="Times New Roman"/>
                <w:color w:val="111111"/>
                <w:sz w:val="16"/>
              </w:rPr>
              <w:t>ELISA</w:t>
            </w:r>
          </w:p>
        </w:tc>
        <w:tc>
          <w:tcPr>
            <w:tcW w:type="dxa" w:w="936"/>
            <w:shd w:val="clear" w:color="auto" w:fill="F5F6F8"/>
          </w:tcPr>
          <w:p>
            <w:r/>
            <w:r>
              <w:rPr>
                <w:rFonts w:ascii="Times New Roman" w:hAnsi="Times New Roman"/>
                <w:color w:val="111111"/>
                <w:sz w:val="16"/>
              </w:rPr>
              <w:t>FGR</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5</w:t>
            </w:r>
          </w:p>
        </w:tc>
      </w:tr>
      <w:tr>
        <w:tc>
          <w:tcPr>
            <w:tcW w:type="dxa" w:w="936"/>
          </w:tcPr>
          <w:p>
            <w:r/>
            <w:r>
              <w:rPr>
                <w:rFonts w:ascii="Times New Roman" w:hAnsi="Times New Roman"/>
                <w:color w:val="111111"/>
                <w:sz w:val="16"/>
              </w:rPr>
              <w:t>D17</w:t>
            </w:r>
          </w:p>
        </w:tc>
        <w:tc>
          <w:tcPr>
            <w:tcW w:type="dxa" w:w="936"/>
          </w:tcPr>
          <w:p>
            <w:r/>
            <w:r>
              <w:rPr>
                <w:rFonts w:ascii="Times New Roman" w:hAnsi="Times New Roman"/>
                <w:color w:val="111111"/>
                <w:sz w:val="16"/>
              </w:rPr>
              <w:t>Lee S.B., 2023</w:t>
            </w:r>
          </w:p>
        </w:tc>
        <w:tc>
          <w:tcPr>
            <w:tcW w:type="dxa" w:w="936"/>
          </w:tcPr>
          <w:p>
            <w:r/>
            <w:r>
              <w:rPr>
                <w:rFonts w:ascii="Times New Roman" w:hAnsi="Times New Roman"/>
                <w:color w:val="111111"/>
                <w:sz w:val="16"/>
              </w:rPr>
              <w:t>Korea</w:t>
            </w:r>
          </w:p>
        </w:tc>
        <w:tc>
          <w:tcPr>
            <w:tcW w:type="dxa" w:w="936"/>
          </w:tcPr>
          <w:p>
            <w:r/>
            <w:r>
              <w:rPr>
                <w:rFonts w:ascii="Times New Roman" w:hAnsi="Times New Roman"/>
                <w:color w:val="111111"/>
                <w:sz w:val="16"/>
              </w:rPr>
              <w:t>Retrospective</w:t>
            </w:r>
          </w:p>
        </w:tc>
        <w:tc>
          <w:tcPr>
            <w:tcW w:type="dxa" w:w="936"/>
          </w:tcPr>
          <w:p>
            <w:r/>
            <w:r>
              <w:rPr>
                <w:rFonts w:ascii="Times New Roman" w:hAnsi="Times New Roman"/>
                <w:color w:val="111111"/>
                <w:sz w:val="16"/>
              </w:rPr>
              <w:t>1,079</w:t>
            </w:r>
          </w:p>
        </w:tc>
        <w:tc>
          <w:tcPr>
            <w:tcW w:type="dxa" w:w="936"/>
          </w:tcPr>
          <w:p>
            <w:r/>
            <w:r>
              <w:rPr>
                <w:rFonts w:ascii="Times New Roman" w:hAnsi="Times New Roman"/>
                <w:color w:val="111111"/>
                <w:sz w:val="16"/>
              </w:rPr>
              <w:t>45.5</w:t>
            </w:r>
          </w:p>
        </w:tc>
        <w:tc>
          <w:tcPr>
            <w:tcW w:type="dxa" w:w="936"/>
          </w:tcPr>
          <w:p>
            <w:r/>
            <w:r>
              <w:rPr>
                <w:rFonts w:ascii="Times New Roman" w:hAnsi="Times New Roman"/>
                <w:color w:val="111111"/>
                <w:sz w:val="16"/>
              </w:rPr>
              <w:t>CLIA</w:t>
            </w:r>
          </w:p>
        </w:tc>
        <w:tc>
          <w:tcPr>
            <w:tcW w:type="dxa" w:w="936"/>
          </w:tcPr>
          <w:p>
            <w:r/>
            <w:r>
              <w:rPr>
                <w:rFonts w:ascii="Times New Roman" w:hAnsi="Times New Roman"/>
                <w:color w:val="111111"/>
                <w:sz w:val="16"/>
              </w:rPr>
              <w:t>Dev delay/SGA</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6</w:t>
            </w:r>
          </w:p>
        </w:tc>
      </w:tr>
      <w:tr>
        <w:tc>
          <w:tcPr>
            <w:tcW w:type="dxa" w:w="936"/>
            <w:shd w:val="clear" w:color="auto" w:fill="F5F6F8"/>
          </w:tcPr>
          <w:p>
            <w:r/>
            <w:r>
              <w:rPr>
                <w:rFonts w:ascii="Times New Roman" w:hAnsi="Times New Roman"/>
                <w:color w:val="111111"/>
                <w:sz w:val="16"/>
              </w:rPr>
              <w:t>D18</w:t>
            </w:r>
          </w:p>
        </w:tc>
        <w:tc>
          <w:tcPr>
            <w:tcW w:type="dxa" w:w="936"/>
            <w:shd w:val="clear" w:color="auto" w:fill="F5F6F8"/>
          </w:tcPr>
          <w:p>
            <w:r/>
            <w:r>
              <w:rPr>
                <w:rFonts w:ascii="Times New Roman" w:hAnsi="Times New Roman"/>
                <w:color w:val="111111"/>
                <w:sz w:val="16"/>
              </w:rPr>
              <w:t>Kwon, 2023</w:t>
            </w:r>
          </w:p>
        </w:tc>
        <w:tc>
          <w:tcPr>
            <w:tcW w:type="dxa" w:w="936"/>
            <w:shd w:val="clear" w:color="auto" w:fill="F5F6F8"/>
          </w:tcPr>
          <w:p>
            <w:r/>
            <w:r>
              <w:rPr>
                <w:rFonts w:ascii="Times New Roman" w:hAnsi="Times New Roman"/>
                <w:color w:val="111111"/>
                <w:sz w:val="16"/>
              </w:rPr>
              <w:t>Korea</w:t>
            </w:r>
          </w:p>
        </w:tc>
        <w:tc>
          <w:tcPr>
            <w:tcW w:type="dxa" w:w="936"/>
            <w:shd w:val="clear" w:color="auto" w:fill="F5F6F8"/>
          </w:tcPr>
          <w:p>
            <w:r/>
            <w:r>
              <w:rPr>
                <w:rFonts w:ascii="Times New Roman" w:hAnsi="Times New Roman"/>
                <w:color w:val="111111"/>
                <w:sz w:val="16"/>
              </w:rPr>
              <w:t>Cohort</w:t>
            </w:r>
          </w:p>
        </w:tc>
        <w:tc>
          <w:tcPr>
            <w:tcW w:type="dxa" w:w="936"/>
            <w:shd w:val="clear" w:color="auto" w:fill="F5F6F8"/>
          </w:tcPr>
          <w:p>
            <w:r/>
            <w:r>
              <w:rPr>
                <w:rFonts w:ascii="Times New Roman" w:hAnsi="Times New Roman"/>
                <w:color w:val="111111"/>
                <w:sz w:val="16"/>
              </w:rPr>
              <w:t>48</w:t>
            </w:r>
          </w:p>
        </w:tc>
        <w:tc>
          <w:tcPr>
            <w:tcW w:type="dxa" w:w="936"/>
            <w:shd w:val="clear" w:color="auto" w:fill="F5F6F8"/>
          </w:tcPr>
          <w:p>
            <w:r/>
            <w:r>
              <w:rPr>
                <w:rFonts w:ascii="Times New Roman" w:hAnsi="Times New Roman"/>
                <w:color w:val="111111"/>
                <w:sz w:val="16"/>
              </w:rPr>
              <w:t>—</w:t>
            </w:r>
          </w:p>
        </w:tc>
        <w:tc>
          <w:tcPr>
            <w:tcW w:type="dxa" w:w="936"/>
            <w:shd w:val="clear" w:color="auto" w:fill="F5F6F8"/>
          </w:tcPr>
          <w:p>
            <w:r/>
            <w:r>
              <w:rPr>
                <w:rFonts w:ascii="Times New Roman" w:hAnsi="Times New Roman"/>
                <w:color w:val="111111"/>
                <w:sz w:val="16"/>
              </w:rPr>
              <w:t>CLIA</w:t>
            </w:r>
          </w:p>
        </w:tc>
        <w:tc>
          <w:tcPr>
            <w:tcW w:type="dxa" w:w="936"/>
            <w:shd w:val="clear" w:color="auto" w:fill="F5F6F8"/>
          </w:tcPr>
          <w:p>
            <w:r/>
            <w:r>
              <w:rPr>
                <w:rFonts w:ascii="Times New Roman" w:hAnsi="Times New Roman"/>
                <w:color w:val="111111"/>
                <w:sz w:val="16"/>
              </w:rPr>
              <w:t>Biometry</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6</w:t>
            </w:r>
          </w:p>
        </w:tc>
      </w:tr>
      <w:tr>
        <w:tc>
          <w:tcPr>
            <w:tcW w:type="dxa" w:w="936"/>
          </w:tcPr>
          <w:p>
            <w:r/>
            <w:r>
              <w:rPr>
                <w:rFonts w:ascii="Times New Roman" w:hAnsi="Times New Roman"/>
                <w:color w:val="111111"/>
                <w:sz w:val="16"/>
              </w:rPr>
              <w:t>D19</w:t>
            </w:r>
          </w:p>
        </w:tc>
        <w:tc>
          <w:tcPr>
            <w:tcW w:type="dxa" w:w="936"/>
          </w:tcPr>
          <w:p>
            <w:r/>
            <w:r>
              <w:rPr>
                <w:rFonts w:ascii="Times New Roman" w:hAnsi="Times New Roman"/>
                <w:color w:val="111111"/>
                <w:sz w:val="16"/>
              </w:rPr>
              <w:t>Palmrich, 2023</w:t>
            </w:r>
          </w:p>
        </w:tc>
        <w:tc>
          <w:tcPr>
            <w:tcW w:type="dxa" w:w="936"/>
          </w:tcPr>
          <w:p>
            <w:r/>
            <w:r>
              <w:rPr>
                <w:rFonts w:ascii="Times New Roman" w:hAnsi="Times New Roman"/>
                <w:color w:val="111111"/>
                <w:sz w:val="16"/>
              </w:rPr>
              <w:t>Austria</w:t>
            </w:r>
          </w:p>
        </w:tc>
        <w:tc>
          <w:tcPr>
            <w:tcW w:type="dxa" w:w="936"/>
          </w:tcPr>
          <w:p>
            <w:r/>
            <w:r>
              <w:rPr>
                <w:rFonts w:ascii="Times New Roman" w:hAnsi="Times New Roman"/>
                <w:color w:val="111111"/>
                <w:sz w:val="16"/>
              </w:rPr>
              <w:t>Prospective Cohort</w:t>
            </w:r>
          </w:p>
        </w:tc>
        <w:tc>
          <w:tcPr>
            <w:tcW w:type="dxa" w:w="936"/>
          </w:tcPr>
          <w:p>
            <w:r/>
            <w:r>
              <w:rPr>
                <w:rFonts w:ascii="Times New Roman" w:hAnsi="Times New Roman"/>
                <w:color w:val="111111"/>
                <w:sz w:val="16"/>
              </w:rPr>
              <w:t>249</w:t>
            </w:r>
          </w:p>
        </w:tc>
        <w:tc>
          <w:tcPr>
            <w:tcW w:type="dxa" w:w="936"/>
          </w:tcPr>
          <w:p>
            <w:r/>
            <w:r>
              <w:rPr>
                <w:rFonts w:ascii="Times New Roman" w:hAnsi="Times New Roman"/>
                <w:color w:val="111111"/>
                <w:sz w:val="16"/>
              </w:rPr>
              <w:t>43.6</w:t>
            </w:r>
          </w:p>
        </w:tc>
        <w:tc>
          <w:tcPr>
            <w:tcW w:type="dxa" w:w="936"/>
          </w:tcPr>
          <w:p>
            <w:r/>
            <w:r>
              <w:rPr>
                <w:rFonts w:ascii="Times New Roman" w:hAnsi="Times New Roman"/>
                <w:color w:val="111111"/>
                <w:sz w:val="16"/>
              </w:rPr>
              <w:t>CLIA</w:t>
            </w:r>
          </w:p>
        </w:tc>
        <w:tc>
          <w:tcPr>
            <w:tcW w:type="dxa" w:w="936"/>
          </w:tcPr>
          <w:p>
            <w:r/>
            <w:r>
              <w:rPr>
                <w:rFonts w:ascii="Times New Roman" w:hAnsi="Times New Roman"/>
                <w:color w:val="111111"/>
                <w:sz w:val="16"/>
              </w:rPr>
              <w:t>SGA</w:t>
            </w:r>
          </w:p>
        </w:tc>
        <w:tc>
          <w:tcPr>
            <w:tcW w:type="dxa" w:w="936"/>
          </w:tcPr>
          <w:p>
            <w:r/>
            <w:r>
              <w:rPr>
                <w:rFonts w:ascii="Times New Roman" w:hAnsi="Times New Roman"/>
                <w:color w:val="111111"/>
                <w:sz w:val="16"/>
              </w:rPr>
              <w:t>No</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D20</w:t>
            </w:r>
          </w:p>
        </w:tc>
        <w:tc>
          <w:tcPr>
            <w:tcW w:type="dxa" w:w="936"/>
            <w:shd w:val="clear" w:color="auto" w:fill="F5F6F8"/>
          </w:tcPr>
          <w:p>
            <w:r/>
            <w:r>
              <w:rPr>
                <w:rFonts w:ascii="Times New Roman" w:hAnsi="Times New Roman"/>
                <w:color w:val="111111"/>
                <w:sz w:val="16"/>
              </w:rPr>
              <w:t>Mahfod, 2022</w:t>
            </w:r>
          </w:p>
        </w:tc>
        <w:tc>
          <w:tcPr>
            <w:tcW w:type="dxa" w:w="936"/>
            <w:shd w:val="clear" w:color="auto" w:fill="F5F6F8"/>
          </w:tcPr>
          <w:p>
            <w:r/>
            <w:r>
              <w:rPr>
                <w:rFonts w:ascii="Times New Roman" w:hAnsi="Times New Roman"/>
                <w:color w:val="111111"/>
                <w:sz w:val="16"/>
              </w:rPr>
              <w:t>Egypt</w:t>
            </w:r>
          </w:p>
        </w:tc>
        <w:tc>
          <w:tcPr>
            <w:tcW w:type="dxa" w:w="936"/>
            <w:shd w:val="clear" w:color="auto" w:fill="F5F6F8"/>
          </w:tcPr>
          <w:p>
            <w:r/>
            <w:r>
              <w:rPr>
                <w:rFonts w:ascii="Times New Roman" w:hAnsi="Times New Roman"/>
                <w:color w:val="111111"/>
                <w:sz w:val="16"/>
              </w:rPr>
              <w:t>Case-Control</w:t>
            </w:r>
          </w:p>
        </w:tc>
        <w:tc>
          <w:tcPr>
            <w:tcW w:type="dxa" w:w="936"/>
            <w:shd w:val="clear" w:color="auto" w:fill="F5F6F8"/>
          </w:tcPr>
          <w:p>
            <w:r/>
            <w:r>
              <w:rPr>
                <w:rFonts w:ascii="Times New Roman" w:hAnsi="Times New Roman"/>
                <w:color w:val="111111"/>
                <w:sz w:val="16"/>
              </w:rPr>
              <w:t>56</w:t>
            </w:r>
          </w:p>
        </w:tc>
        <w:tc>
          <w:tcPr>
            <w:tcW w:type="dxa" w:w="936"/>
            <w:shd w:val="clear" w:color="auto" w:fill="F5F6F8"/>
          </w:tcPr>
          <w:p>
            <w:r/>
            <w:r>
              <w:rPr>
                <w:rFonts w:ascii="Times New Roman" w:hAnsi="Times New Roman"/>
                <w:color w:val="111111"/>
                <w:sz w:val="16"/>
              </w:rPr>
              <w:t>20.8</w:t>
            </w:r>
          </w:p>
        </w:tc>
        <w:tc>
          <w:tcPr>
            <w:tcW w:type="dxa" w:w="936"/>
            <w:shd w:val="clear" w:color="auto" w:fill="F5F6F8"/>
          </w:tcPr>
          <w:p>
            <w:r/>
            <w:r>
              <w:rPr>
                <w:rFonts w:ascii="Times New Roman" w:hAnsi="Times New Roman"/>
                <w:color w:val="111111"/>
                <w:sz w:val="16"/>
              </w:rPr>
              <w:t>ECL</w:t>
            </w:r>
          </w:p>
        </w:tc>
        <w:tc>
          <w:tcPr>
            <w:tcW w:type="dxa" w:w="936"/>
            <w:shd w:val="clear" w:color="auto" w:fill="F5F6F8"/>
          </w:tcPr>
          <w:p>
            <w:r/>
            <w:r>
              <w:rPr>
                <w:rFonts w:ascii="Times New Roman" w:hAnsi="Times New Roman"/>
                <w:color w:val="111111"/>
                <w:sz w:val="16"/>
              </w:rPr>
              <w:t>FGR</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6</w:t>
            </w:r>
          </w:p>
        </w:tc>
      </w:tr>
      <w:tr>
        <w:tc>
          <w:tcPr>
            <w:tcW w:type="dxa" w:w="936"/>
          </w:tcPr>
          <w:p>
            <w:r/>
            <w:r>
              <w:rPr>
                <w:rFonts w:ascii="Times New Roman" w:hAnsi="Times New Roman"/>
                <w:color w:val="111111"/>
                <w:sz w:val="16"/>
              </w:rPr>
              <w:t>D21</w:t>
            </w:r>
          </w:p>
        </w:tc>
        <w:tc>
          <w:tcPr>
            <w:tcW w:type="dxa" w:w="936"/>
          </w:tcPr>
          <w:p>
            <w:r/>
            <w:r>
              <w:rPr>
                <w:rFonts w:ascii="Times New Roman" w:hAnsi="Times New Roman"/>
                <w:color w:val="111111"/>
                <w:sz w:val="16"/>
              </w:rPr>
              <w:t>Marcal, 2021</w:t>
            </w:r>
          </w:p>
        </w:tc>
        <w:tc>
          <w:tcPr>
            <w:tcW w:type="dxa" w:w="936"/>
          </w:tcPr>
          <w:p>
            <w:r/>
            <w:r>
              <w:rPr>
                <w:rFonts w:ascii="Times New Roman" w:hAnsi="Times New Roman"/>
                <w:color w:val="111111"/>
                <w:sz w:val="16"/>
              </w:rPr>
              <w:t>Brazil</w:t>
            </w:r>
          </w:p>
        </w:tc>
        <w:tc>
          <w:tcPr>
            <w:tcW w:type="dxa" w:w="936"/>
          </w:tcPr>
          <w:p>
            <w:r/>
            <w:r>
              <w:rPr>
                <w:rFonts w:ascii="Times New Roman" w:hAnsi="Times New Roman"/>
                <w:color w:val="111111"/>
                <w:sz w:val="16"/>
              </w:rPr>
              <w:t>Cross-sectional</w:t>
            </w:r>
          </w:p>
        </w:tc>
        <w:tc>
          <w:tcPr>
            <w:tcW w:type="dxa" w:w="936"/>
          </w:tcPr>
          <w:p>
            <w:r/>
            <w:r>
              <w:rPr>
                <w:rFonts w:ascii="Times New Roman" w:hAnsi="Times New Roman"/>
                <w:color w:val="111111"/>
                <w:sz w:val="16"/>
              </w:rPr>
              <w:t>87</w:t>
            </w:r>
          </w:p>
        </w:tc>
        <w:tc>
          <w:tcPr>
            <w:tcW w:type="dxa" w:w="936"/>
          </w:tcPr>
          <w:p>
            <w:r/>
            <w:r>
              <w:rPr>
                <w:rFonts w:ascii="Times New Roman" w:hAnsi="Times New Roman"/>
                <w:color w:val="111111"/>
                <w:sz w:val="16"/>
              </w:rPr>
              <w:t>60.5</w:t>
            </w:r>
          </w:p>
        </w:tc>
        <w:tc>
          <w:tcPr>
            <w:tcW w:type="dxa" w:w="936"/>
          </w:tcPr>
          <w:p>
            <w:r/>
            <w:r>
              <w:rPr>
                <w:rFonts w:ascii="Times New Roman" w:hAnsi="Times New Roman"/>
                <w:color w:val="111111"/>
                <w:sz w:val="16"/>
              </w:rPr>
              <w:t>CLIA</w:t>
            </w:r>
          </w:p>
        </w:tc>
        <w:tc>
          <w:tcPr>
            <w:tcW w:type="dxa" w:w="936"/>
          </w:tcPr>
          <w:p>
            <w:r/>
            <w:r>
              <w:rPr>
                <w:rFonts w:ascii="Times New Roman" w:hAnsi="Times New Roman"/>
                <w:color w:val="111111"/>
                <w:sz w:val="16"/>
              </w:rPr>
              <w:t>SGA/FGR</w:t>
            </w:r>
          </w:p>
        </w:tc>
        <w:tc>
          <w:tcPr>
            <w:tcW w:type="dxa" w:w="936"/>
          </w:tcPr>
          <w:p>
            <w:r/>
            <w:r>
              <w:rPr>
                <w:rFonts w:ascii="Times New Roman" w:hAnsi="Times New Roman"/>
                <w:color w:val="111111"/>
                <w:sz w:val="16"/>
              </w:rPr>
              <w:t>No</w:t>
            </w:r>
          </w:p>
        </w:tc>
        <w:tc>
          <w:tcPr>
            <w:tcW w:type="dxa" w:w="936"/>
          </w:tcPr>
          <w:p>
            <w:r/>
            <w:r>
              <w:rPr>
                <w:rFonts w:ascii="Times New Roman" w:hAnsi="Times New Roman"/>
                <w:color w:val="111111"/>
                <w:sz w:val="16"/>
              </w:rPr>
              <w:t>5</w:t>
            </w:r>
          </w:p>
        </w:tc>
      </w:tr>
      <w:tr>
        <w:tc>
          <w:tcPr>
            <w:tcW w:type="dxa" w:w="936"/>
            <w:shd w:val="clear" w:color="auto" w:fill="F5F6F8"/>
          </w:tcPr>
          <w:p>
            <w:r/>
            <w:r>
              <w:rPr>
                <w:rFonts w:ascii="Times New Roman" w:hAnsi="Times New Roman"/>
                <w:color w:val="111111"/>
                <w:sz w:val="16"/>
              </w:rPr>
              <w:t>D22</w:t>
            </w:r>
          </w:p>
        </w:tc>
        <w:tc>
          <w:tcPr>
            <w:tcW w:type="dxa" w:w="936"/>
            <w:shd w:val="clear" w:color="auto" w:fill="F5F6F8"/>
          </w:tcPr>
          <w:p>
            <w:r/>
            <w:r>
              <w:rPr>
                <w:rFonts w:ascii="Times New Roman" w:hAnsi="Times New Roman"/>
                <w:color w:val="111111"/>
                <w:sz w:val="16"/>
              </w:rPr>
              <w:t>Baqai, 2020</w:t>
            </w:r>
          </w:p>
        </w:tc>
        <w:tc>
          <w:tcPr>
            <w:tcW w:type="dxa" w:w="936"/>
            <w:shd w:val="clear" w:color="auto" w:fill="F5F6F8"/>
          </w:tcPr>
          <w:p>
            <w:r/>
            <w:r>
              <w:rPr>
                <w:rFonts w:ascii="Times New Roman" w:hAnsi="Times New Roman"/>
                <w:color w:val="111111"/>
                <w:sz w:val="16"/>
              </w:rPr>
              <w:t>Pakistan</w:t>
            </w:r>
          </w:p>
        </w:tc>
        <w:tc>
          <w:tcPr>
            <w:tcW w:type="dxa" w:w="936"/>
            <w:shd w:val="clear" w:color="auto" w:fill="F5F6F8"/>
          </w:tcPr>
          <w:p>
            <w:r/>
            <w:r>
              <w:rPr>
                <w:rFonts w:ascii="Times New Roman" w:hAnsi="Times New Roman"/>
                <w:color w:val="111111"/>
                <w:sz w:val="16"/>
              </w:rPr>
              <w:t>Prospective Cohort</w:t>
            </w:r>
          </w:p>
        </w:tc>
        <w:tc>
          <w:tcPr>
            <w:tcW w:type="dxa" w:w="936"/>
            <w:shd w:val="clear" w:color="auto" w:fill="F5F6F8"/>
          </w:tcPr>
          <w:p>
            <w:r/>
            <w:r>
              <w:rPr>
                <w:rFonts w:ascii="Times New Roman" w:hAnsi="Times New Roman"/>
                <w:color w:val="111111"/>
                <w:sz w:val="16"/>
              </w:rPr>
              <w:t>585</w:t>
            </w:r>
          </w:p>
        </w:tc>
        <w:tc>
          <w:tcPr>
            <w:tcW w:type="dxa" w:w="936"/>
            <w:shd w:val="clear" w:color="auto" w:fill="F5F6F8"/>
          </w:tcPr>
          <w:p>
            <w:r/>
            <w:r>
              <w:rPr>
                <w:rFonts w:ascii="Times New Roman" w:hAnsi="Times New Roman"/>
                <w:color w:val="111111"/>
                <w:sz w:val="16"/>
              </w:rPr>
              <w:t>—</w:t>
            </w:r>
          </w:p>
        </w:tc>
        <w:tc>
          <w:tcPr>
            <w:tcW w:type="dxa" w:w="936"/>
            <w:shd w:val="clear" w:color="auto" w:fill="F5F6F8"/>
          </w:tcPr>
          <w:p>
            <w:r/>
            <w:r>
              <w:rPr>
                <w:rFonts w:ascii="Times New Roman" w:hAnsi="Times New Roman"/>
                <w:color w:val="111111"/>
                <w:sz w:val="16"/>
              </w:rPr>
              <w:t>RIA</w:t>
            </w:r>
          </w:p>
        </w:tc>
        <w:tc>
          <w:tcPr>
            <w:tcW w:type="dxa" w:w="936"/>
            <w:shd w:val="clear" w:color="auto" w:fill="F5F6F8"/>
          </w:tcPr>
          <w:p>
            <w:r/>
            <w:r>
              <w:rPr>
                <w:rFonts w:ascii="Times New Roman" w:hAnsi="Times New Roman"/>
                <w:color w:val="111111"/>
                <w:sz w:val="16"/>
              </w:rPr>
              <w:t>IUGR</w:t>
            </w:r>
          </w:p>
        </w:tc>
        <w:tc>
          <w:tcPr>
            <w:tcW w:type="dxa" w:w="936"/>
            <w:shd w:val="clear" w:color="auto" w:fill="F5F6F8"/>
          </w:tcPr>
          <w:p>
            <w:r/>
            <w:r>
              <w:rPr>
                <w:rFonts w:ascii="Times New Roman" w:hAnsi="Times New Roman"/>
                <w:color w:val="111111"/>
                <w:sz w:val="16"/>
              </w:rPr>
              <w:t>No</w:t>
            </w:r>
          </w:p>
        </w:tc>
        <w:tc>
          <w:tcPr>
            <w:tcW w:type="dxa" w:w="936"/>
            <w:shd w:val="clear" w:color="auto" w:fill="F5F6F8"/>
          </w:tcPr>
          <w:p>
            <w:r/>
            <w:r>
              <w:rPr>
                <w:rFonts w:ascii="Times New Roman" w:hAnsi="Times New Roman"/>
                <w:color w:val="111111"/>
                <w:sz w:val="16"/>
              </w:rPr>
              <w:t>5</w:t>
            </w:r>
          </w:p>
        </w:tc>
      </w:tr>
      <w:tr>
        <w:tc>
          <w:tcPr>
            <w:tcW w:type="dxa" w:w="936"/>
          </w:tcPr>
          <w:p>
            <w:r/>
            <w:r>
              <w:rPr>
                <w:rFonts w:ascii="Times New Roman" w:hAnsi="Times New Roman"/>
                <w:color w:val="111111"/>
                <w:sz w:val="16"/>
              </w:rPr>
              <w:t>D23</w:t>
            </w:r>
          </w:p>
        </w:tc>
        <w:tc>
          <w:tcPr>
            <w:tcW w:type="dxa" w:w="936"/>
          </w:tcPr>
          <w:p>
            <w:r/>
            <w:r>
              <w:rPr>
                <w:rFonts w:ascii="Times New Roman" w:hAnsi="Times New Roman"/>
                <w:color w:val="111111"/>
                <w:sz w:val="16"/>
              </w:rPr>
              <w:t>Alimohammadi, 2020</w:t>
            </w:r>
          </w:p>
        </w:tc>
        <w:tc>
          <w:tcPr>
            <w:tcW w:type="dxa" w:w="936"/>
          </w:tcPr>
          <w:p>
            <w:r/>
            <w:r>
              <w:rPr>
                <w:rFonts w:ascii="Times New Roman" w:hAnsi="Times New Roman"/>
                <w:color w:val="111111"/>
                <w:sz w:val="16"/>
              </w:rPr>
              <w:t>Iran</w:t>
            </w:r>
          </w:p>
        </w:tc>
        <w:tc>
          <w:tcPr>
            <w:tcW w:type="dxa" w:w="936"/>
          </w:tcPr>
          <w:p>
            <w:r/>
            <w:r>
              <w:rPr>
                <w:rFonts w:ascii="Times New Roman" w:hAnsi="Times New Roman"/>
                <w:color w:val="111111"/>
                <w:sz w:val="16"/>
              </w:rPr>
              <w:t>Case-Control</w:t>
            </w:r>
          </w:p>
        </w:tc>
        <w:tc>
          <w:tcPr>
            <w:tcW w:type="dxa" w:w="936"/>
          </w:tcPr>
          <w:p>
            <w:r/>
            <w:r>
              <w:rPr>
                <w:rFonts w:ascii="Times New Roman" w:hAnsi="Times New Roman"/>
                <w:color w:val="111111"/>
                <w:sz w:val="16"/>
              </w:rPr>
              <w:t>260</w:t>
            </w:r>
          </w:p>
        </w:tc>
        <w:tc>
          <w:tcPr>
            <w:tcW w:type="dxa" w:w="936"/>
          </w:tcPr>
          <w:p>
            <w:r/>
            <w:r>
              <w:rPr>
                <w:rFonts w:ascii="Times New Roman" w:hAnsi="Times New Roman"/>
                <w:color w:val="111111"/>
                <w:sz w:val="16"/>
              </w:rPr>
              <w:t>36.9</w:t>
            </w:r>
          </w:p>
        </w:tc>
        <w:tc>
          <w:tcPr>
            <w:tcW w:type="dxa" w:w="936"/>
          </w:tcPr>
          <w:p>
            <w:r/>
            <w:r>
              <w:rPr>
                <w:rFonts w:ascii="Times New Roman" w:hAnsi="Times New Roman"/>
                <w:color w:val="111111"/>
                <w:sz w:val="16"/>
              </w:rPr>
              <w:t>RIA</w:t>
            </w:r>
          </w:p>
        </w:tc>
        <w:tc>
          <w:tcPr>
            <w:tcW w:type="dxa" w:w="936"/>
          </w:tcPr>
          <w:p>
            <w:r/>
            <w:r>
              <w:rPr>
                <w:rFonts w:ascii="Times New Roman" w:hAnsi="Times New Roman"/>
                <w:color w:val="111111"/>
                <w:sz w:val="16"/>
              </w:rPr>
              <w:t>IUGR</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6</w:t>
            </w:r>
          </w:p>
        </w:tc>
      </w:tr>
      <w:tr>
        <w:tc>
          <w:tcPr>
            <w:tcW w:type="dxa" w:w="936"/>
            <w:shd w:val="clear" w:color="auto" w:fill="F5F6F8"/>
          </w:tcPr>
          <w:p>
            <w:r/>
            <w:r>
              <w:rPr>
                <w:rFonts w:ascii="Times New Roman" w:hAnsi="Times New Roman"/>
                <w:color w:val="111111"/>
                <w:sz w:val="16"/>
              </w:rPr>
              <w:t>D24</w:t>
            </w:r>
          </w:p>
        </w:tc>
        <w:tc>
          <w:tcPr>
            <w:tcW w:type="dxa" w:w="936"/>
            <w:shd w:val="clear" w:color="auto" w:fill="F5F6F8"/>
          </w:tcPr>
          <w:p>
            <w:r/>
            <w:r>
              <w:rPr>
                <w:rFonts w:ascii="Times New Roman" w:hAnsi="Times New Roman"/>
                <w:color w:val="111111"/>
                <w:sz w:val="16"/>
              </w:rPr>
              <w:t>Judistiani, 2019</w:t>
            </w:r>
          </w:p>
        </w:tc>
        <w:tc>
          <w:tcPr>
            <w:tcW w:type="dxa" w:w="936"/>
            <w:shd w:val="clear" w:color="auto" w:fill="F5F6F8"/>
          </w:tcPr>
          <w:p>
            <w:r/>
            <w:r>
              <w:rPr>
                <w:rFonts w:ascii="Times New Roman" w:hAnsi="Times New Roman"/>
                <w:color w:val="111111"/>
                <w:sz w:val="16"/>
              </w:rPr>
              <w:t>Indonesia</w:t>
            </w:r>
          </w:p>
        </w:tc>
        <w:tc>
          <w:tcPr>
            <w:tcW w:type="dxa" w:w="936"/>
            <w:shd w:val="clear" w:color="auto" w:fill="F5F6F8"/>
          </w:tcPr>
          <w:p>
            <w:r/>
            <w:r>
              <w:rPr>
                <w:rFonts w:ascii="Times New Roman" w:hAnsi="Times New Roman"/>
                <w:color w:val="111111"/>
                <w:sz w:val="16"/>
              </w:rPr>
              <w:t>Prospective Cohort</w:t>
            </w:r>
          </w:p>
        </w:tc>
        <w:tc>
          <w:tcPr>
            <w:tcW w:type="dxa" w:w="936"/>
            <w:shd w:val="clear" w:color="auto" w:fill="F5F6F8"/>
          </w:tcPr>
          <w:p>
            <w:r/>
            <w:r>
              <w:rPr>
                <w:rFonts w:ascii="Times New Roman" w:hAnsi="Times New Roman"/>
                <w:color w:val="111111"/>
                <w:sz w:val="16"/>
              </w:rPr>
              <w:t>203</w:t>
            </w:r>
          </w:p>
        </w:tc>
        <w:tc>
          <w:tcPr>
            <w:tcW w:type="dxa" w:w="936"/>
            <w:shd w:val="clear" w:color="auto" w:fill="F5F6F8"/>
          </w:tcPr>
          <w:p>
            <w:r/>
            <w:r>
              <w:rPr>
                <w:rFonts w:ascii="Times New Roman" w:hAnsi="Times New Roman"/>
                <w:color w:val="111111"/>
                <w:sz w:val="16"/>
              </w:rPr>
              <w:t>39.1</w:t>
            </w:r>
          </w:p>
        </w:tc>
        <w:tc>
          <w:tcPr>
            <w:tcW w:type="dxa" w:w="936"/>
            <w:shd w:val="clear" w:color="auto" w:fill="F5F6F8"/>
          </w:tcPr>
          <w:p>
            <w:r/>
            <w:r>
              <w:rPr>
                <w:rFonts w:ascii="Times New Roman" w:hAnsi="Times New Roman"/>
                <w:color w:val="111111"/>
                <w:sz w:val="16"/>
              </w:rPr>
              <w:t>ELISA</w:t>
            </w:r>
          </w:p>
        </w:tc>
        <w:tc>
          <w:tcPr>
            <w:tcW w:type="dxa" w:w="936"/>
            <w:shd w:val="clear" w:color="auto" w:fill="F5F6F8"/>
          </w:tcPr>
          <w:p>
            <w:r/>
            <w:r>
              <w:rPr>
                <w:rFonts w:ascii="Times New Roman" w:hAnsi="Times New Roman"/>
                <w:color w:val="111111"/>
                <w:sz w:val="16"/>
              </w:rPr>
              <w:t>Biometry</w:t>
            </w:r>
          </w:p>
        </w:tc>
        <w:tc>
          <w:tcPr>
            <w:tcW w:type="dxa" w:w="936"/>
            <w:shd w:val="clear" w:color="auto" w:fill="F5F6F8"/>
          </w:tcPr>
          <w:p>
            <w:r/>
            <w:r>
              <w:rPr>
                <w:rFonts w:ascii="Times New Roman" w:hAnsi="Times New Roman"/>
                <w:color w:val="111111"/>
                <w:sz w:val="16"/>
              </w:rPr>
              <w:t>Yes</w:t>
            </w:r>
          </w:p>
        </w:tc>
        <w:tc>
          <w:tcPr>
            <w:tcW w:type="dxa" w:w="936"/>
            <w:shd w:val="clear" w:color="auto" w:fill="F5F6F8"/>
          </w:tcPr>
          <w:p>
            <w:r/>
            <w:r>
              <w:rPr>
                <w:rFonts w:ascii="Times New Roman" w:hAnsi="Times New Roman"/>
                <w:color w:val="111111"/>
                <w:sz w:val="16"/>
              </w:rPr>
              <w:t>7</w:t>
            </w:r>
          </w:p>
        </w:tc>
      </w:tr>
      <w:tr>
        <w:tc>
          <w:tcPr>
            <w:tcW w:type="dxa" w:w="936"/>
          </w:tcPr>
          <w:p>
            <w:r/>
            <w:r>
              <w:rPr>
                <w:rFonts w:ascii="Times New Roman" w:hAnsi="Times New Roman"/>
                <w:color w:val="111111"/>
                <w:sz w:val="16"/>
              </w:rPr>
              <w:t>D25</w:t>
            </w:r>
          </w:p>
        </w:tc>
        <w:tc>
          <w:tcPr>
            <w:tcW w:type="dxa" w:w="936"/>
          </w:tcPr>
          <w:p>
            <w:r/>
            <w:r>
              <w:rPr>
                <w:rFonts w:ascii="Times New Roman" w:hAnsi="Times New Roman"/>
                <w:color w:val="111111"/>
                <w:sz w:val="16"/>
              </w:rPr>
              <w:t>Gernand, 2014</w:t>
            </w:r>
          </w:p>
        </w:tc>
        <w:tc>
          <w:tcPr>
            <w:tcW w:type="dxa" w:w="936"/>
          </w:tcPr>
          <w:p>
            <w:r/>
            <w:r>
              <w:rPr>
                <w:rFonts w:ascii="Times New Roman" w:hAnsi="Times New Roman"/>
                <w:color w:val="111111"/>
                <w:sz w:val="16"/>
              </w:rPr>
              <w:t>USA</w:t>
            </w:r>
          </w:p>
        </w:tc>
        <w:tc>
          <w:tcPr>
            <w:tcW w:type="dxa" w:w="936"/>
          </w:tcPr>
          <w:p>
            <w:r/>
            <w:r>
              <w:rPr>
                <w:rFonts w:ascii="Times New Roman" w:hAnsi="Times New Roman"/>
                <w:color w:val="111111"/>
                <w:sz w:val="16"/>
              </w:rPr>
              <w:t>Observational</w:t>
            </w:r>
          </w:p>
        </w:tc>
        <w:tc>
          <w:tcPr>
            <w:tcW w:type="dxa" w:w="936"/>
          </w:tcPr>
          <w:p>
            <w:r/>
            <w:r>
              <w:rPr>
                <w:rFonts w:ascii="Times New Roman" w:hAnsi="Times New Roman"/>
                <w:color w:val="111111"/>
                <w:sz w:val="16"/>
              </w:rPr>
              <w:t>792</w:t>
            </w:r>
          </w:p>
        </w:tc>
        <w:tc>
          <w:tcPr>
            <w:tcW w:type="dxa" w:w="936"/>
          </w:tcPr>
          <w:p>
            <w:r/>
            <w:r>
              <w:rPr>
                <w:rFonts w:ascii="Times New Roman" w:hAnsi="Times New Roman"/>
                <w:color w:val="111111"/>
                <w:sz w:val="16"/>
              </w:rPr>
              <w:t>63.9</w:t>
            </w:r>
          </w:p>
        </w:tc>
        <w:tc>
          <w:tcPr>
            <w:tcW w:type="dxa" w:w="936"/>
          </w:tcPr>
          <w:p>
            <w:r/>
            <w:r>
              <w:rPr>
                <w:rFonts w:ascii="Times New Roman" w:hAnsi="Times New Roman"/>
                <w:color w:val="111111"/>
                <w:sz w:val="16"/>
              </w:rPr>
              <w:t>HPLC-MS/MS</w:t>
            </w:r>
          </w:p>
        </w:tc>
        <w:tc>
          <w:tcPr>
            <w:tcW w:type="dxa" w:w="936"/>
          </w:tcPr>
          <w:p>
            <w:r/>
            <w:r>
              <w:rPr>
                <w:rFonts w:ascii="Times New Roman" w:hAnsi="Times New Roman"/>
                <w:color w:val="111111"/>
                <w:sz w:val="16"/>
              </w:rPr>
              <w:t>SGA</w:t>
            </w:r>
          </w:p>
        </w:tc>
        <w:tc>
          <w:tcPr>
            <w:tcW w:type="dxa" w:w="936"/>
          </w:tcPr>
          <w:p>
            <w:r/>
            <w:r>
              <w:rPr>
                <w:rFonts w:ascii="Times New Roman" w:hAnsi="Times New Roman"/>
                <w:color w:val="111111"/>
                <w:sz w:val="16"/>
              </w:rPr>
              <w:t>Yes</w:t>
            </w:r>
          </w:p>
        </w:tc>
        <w:tc>
          <w:tcPr>
            <w:tcW w:type="dxa" w:w="936"/>
          </w:tcPr>
          <w:p>
            <w:r/>
            <w:r>
              <w:rPr>
                <w:rFonts w:ascii="Times New Roman" w:hAnsi="Times New Roman"/>
                <w:color w:val="111111"/>
                <w:sz w:val="16"/>
              </w:rPr>
              <w:t>8</w:t>
            </w:r>
          </w:p>
        </w:tc>
      </w:tr>
      <w:tr>
        <w:tc>
          <w:tcPr>
            <w:tcW w:type="dxa" w:w="936"/>
            <w:shd w:val="clear" w:color="auto" w:fill="F5F6F8"/>
          </w:tcPr>
          <w:p>
            <w:r/>
            <w:r>
              <w:rPr>
                <w:rFonts w:ascii="Times New Roman" w:hAnsi="Times New Roman"/>
                <w:color w:val="111111"/>
                <w:sz w:val="16"/>
              </w:rPr>
              <w:t>D26</w:t>
            </w:r>
          </w:p>
        </w:tc>
        <w:tc>
          <w:tcPr>
            <w:tcW w:type="dxa" w:w="936"/>
            <w:shd w:val="clear" w:color="auto" w:fill="F5F6F8"/>
          </w:tcPr>
          <w:p>
            <w:r/>
            <w:r>
              <w:rPr>
                <w:rFonts w:ascii="Times New Roman" w:hAnsi="Times New Roman"/>
                <w:color w:val="111111"/>
                <w:sz w:val="16"/>
              </w:rPr>
              <w:t>Fernández-Alonso, 2011</w:t>
            </w:r>
          </w:p>
        </w:tc>
        <w:tc>
          <w:tcPr>
            <w:tcW w:type="dxa" w:w="936"/>
            <w:shd w:val="clear" w:color="auto" w:fill="F5F6F8"/>
          </w:tcPr>
          <w:p>
            <w:r/>
            <w:r>
              <w:rPr>
                <w:rFonts w:ascii="Times New Roman" w:hAnsi="Times New Roman"/>
                <w:color w:val="111111"/>
                <w:sz w:val="16"/>
              </w:rPr>
              <w:t>Spain</w:t>
            </w:r>
          </w:p>
        </w:tc>
        <w:tc>
          <w:tcPr>
            <w:tcW w:type="dxa" w:w="936"/>
            <w:shd w:val="clear" w:color="auto" w:fill="F5F6F8"/>
          </w:tcPr>
          <w:p>
            <w:r/>
            <w:r>
              <w:rPr>
                <w:rFonts w:ascii="Times New Roman" w:hAnsi="Times New Roman"/>
                <w:color w:val="111111"/>
                <w:sz w:val="16"/>
              </w:rPr>
              <w:t>Cross-sectional</w:t>
            </w:r>
          </w:p>
        </w:tc>
        <w:tc>
          <w:tcPr>
            <w:tcW w:type="dxa" w:w="936"/>
            <w:shd w:val="clear" w:color="auto" w:fill="F5F6F8"/>
          </w:tcPr>
          <w:p>
            <w:r/>
            <w:r>
              <w:rPr>
                <w:rFonts w:ascii="Times New Roman" w:hAnsi="Times New Roman"/>
                <w:color w:val="111111"/>
                <w:sz w:val="16"/>
              </w:rPr>
              <w:t>498</w:t>
            </w:r>
          </w:p>
        </w:tc>
        <w:tc>
          <w:tcPr>
            <w:tcW w:type="dxa" w:w="936"/>
            <w:shd w:val="clear" w:color="auto" w:fill="F5F6F8"/>
          </w:tcPr>
          <w:p>
            <w:r/>
            <w:r>
              <w:rPr>
                <w:rFonts w:ascii="Times New Roman" w:hAnsi="Times New Roman"/>
                <w:color w:val="111111"/>
                <w:sz w:val="16"/>
              </w:rPr>
              <w:t>68.5</w:t>
            </w:r>
          </w:p>
        </w:tc>
        <w:tc>
          <w:tcPr>
            <w:tcW w:type="dxa" w:w="936"/>
            <w:shd w:val="clear" w:color="auto" w:fill="F5F6F8"/>
          </w:tcPr>
          <w:p>
            <w:r/>
            <w:r>
              <w:rPr>
                <w:rFonts w:ascii="Times New Roman" w:hAnsi="Times New Roman"/>
                <w:color w:val="111111"/>
                <w:sz w:val="16"/>
              </w:rPr>
              <w:t>ECLIA</w:t>
            </w:r>
          </w:p>
        </w:tc>
        <w:tc>
          <w:tcPr>
            <w:tcW w:type="dxa" w:w="936"/>
            <w:shd w:val="clear" w:color="auto" w:fill="F5F6F8"/>
          </w:tcPr>
          <w:p>
            <w:r/>
            <w:r>
              <w:rPr>
                <w:rFonts w:ascii="Times New Roman" w:hAnsi="Times New Roman"/>
                <w:color w:val="111111"/>
                <w:sz w:val="16"/>
              </w:rPr>
              <w:t>CRL/NT</w:t>
            </w:r>
          </w:p>
        </w:tc>
        <w:tc>
          <w:tcPr>
            <w:tcW w:type="dxa" w:w="936"/>
            <w:shd w:val="clear" w:color="auto" w:fill="F5F6F8"/>
          </w:tcPr>
          <w:p>
            <w:r/>
            <w:r>
              <w:rPr>
                <w:rFonts w:ascii="Times New Roman" w:hAnsi="Times New Roman"/>
                <w:color w:val="111111"/>
                <w:sz w:val="16"/>
              </w:rPr>
              <w:t>No</w:t>
            </w:r>
          </w:p>
        </w:tc>
        <w:tc>
          <w:tcPr>
            <w:tcW w:type="dxa" w:w="936"/>
            <w:shd w:val="clear" w:color="auto" w:fill="F5F6F8"/>
          </w:tcPr>
          <w:p>
            <w:r/>
            <w:r>
              <w:rPr>
                <w:rFonts w:ascii="Times New Roman" w:hAnsi="Times New Roman"/>
                <w:color w:val="111111"/>
                <w:sz w:val="16"/>
              </w:rPr>
              <w:t>5</w:t>
            </w:r>
          </w:p>
        </w:tc>
      </w:tr>
    </w:tbl>
    <w:p/>
    <w:p>
      <w:pPr>
        <w:pStyle w:val="Heading2"/>
      </w:pPr>
      <w:r>
        <w:rPr>
          <w:rFonts w:ascii="Times New Roman" w:hAnsi="Times New Roman"/>
          <w:color w:val="1A2E4A"/>
        </w:rPr>
        <w:t>Methodological quality</w:t>
      </w:r>
    </w:p>
    <w:p>
      <w:r>
        <w:rPr>
          <w:rFonts w:ascii="Times New Roman" w:hAnsi="Times New Roman"/>
          <w:b w:val="0"/>
          <w:i w:val="0"/>
          <w:sz w:val="24"/>
        </w:rPr>
        <w:t>Among the 24 observational studies, JBI Critical Appraisal scores ranged from 4 to 11 (out of 11), with most studies meeting 7 or more criteria. NOS scores ranged from 5 to 9 (out of 9): 11 studies (46%) were rated as high quality (NOS ≥7), 11 (46%) as moderate (NOS 5–6), and 2 (8%) as lower quality (NOS &lt; 5). Common methodological limitations included inadequate adjustment for confounders, incomplete reporting of follow-up, and lack of standardisation in vitamin D measurement methods (figure S1; table S3).</w:t>
      </w:r>
    </w:p>
    <w:p>
      <w:pPr>
        <w:ind w:firstLine="720"/>
      </w:pPr>
      <w:r>
        <w:rPr>
          <w:rFonts w:ascii="Times New Roman" w:hAnsi="Times New Roman"/>
          <w:b w:val="0"/>
          <w:i w:val="0"/>
          <w:sz w:val="24"/>
        </w:rPr>
        <w:t>For the two RCTs, assessment using the Cochrane RoB 2 tool indicated that Vafaei et al. (2019) had a low overall risk of bias, while Srilekha et al. (2021) had a high risk of bias, primarily due to concerns about the randomisation process, lack of outcome assessor blinding, and unclear allocation concealment.</w:t>
      </w:r>
    </w:p>
    <w:p>
      <w:pPr>
        <w:pStyle w:val="Heading2"/>
      </w:pPr>
      <w:r>
        <w:rPr>
          <w:rFonts w:ascii="Times New Roman" w:hAnsi="Times New Roman"/>
          <w:color w:val="1A2E4A"/>
        </w:rPr>
        <w:t>Primary meta-analysis: SGA/FGR</w:t>
      </w:r>
    </w:p>
    <w:p>
      <w:r>
        <w:rPr>
          <w:rFonts w:ascii="Times New Roman" w:hAnsi="Times New Roman"/>
          <w:b w:val="0"/>
          <w:i w:val="0"/>
          <w:sz w:val="24"/>
        </w:rPr>
        <w:t>Four studies (Miliku et al., 2016; Gernand et al., 2014 [two strata]; Beck et al., 2025) involving 9033 participants provided sufficient data for pooled analysis of the association between maternal vitamin D deficiency and SGA/FGR risk (figure 2). All four studies used HPLC-MS/MS for 25(OH)D quantification (the reference standard method). The pooled odds ratio was 1·95 (95% CI 1·47–2·59; I² = 0%; Cochran’s Q = 0·79, df = 3, p = 0·853), using a fixed-effects model. All individual study estimates were directionally consistent, with ORs ranging from 1·28 to 2·17.</w:t>
      </w:r>
    </w:p>
    <w:p>
      <w:pPr>
        <w:ind w:firstLine="720"/>
      </w:pPr>
      <w:r>
        <w:rPr>
          <w:rFonts w:ascii="Times New Roman" w:hAnsi="Times New Roman"/>
          <w:b w:val="0"/>
          <w:i w:val="0"/>
          <w:sz w:val="24"/>
        </w:rPr>
        <w:t>The clinical significance was quantified assuming a baseline SGA prevalence of 8%: the risk difference was +7·1%, corresponding to a number needed to harm (NNH) of 14. This indicates that for every 14 pregnancies with vitamin D deficiency, one additional case of SGA/FGR would be expected compared with vitamin D-sufficient pregnancies.</w:t>
      </w:r>
    </w:p>
    <w:p>
      <w:pPr>
        <w:jc w:val="center"/>
      </w:pPr>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Forest_SGA_FGR.png"/>
                    <pic:cNvPicPr/>
                  </pic:nvPicPr>
                  <pic:blipFill>
                    <a:blip r:embed="rId10"/>
                    <a:stretch>
                      <a:fillRect/>
                    </a:stretch>
                  </pic:blipFill>
                  <pic:spPr>
                    <a:xfrm>
                      <a:off x="0" y="0"/>
                      <a:ext cx="5943600" cy="1857375"/>
                    </a:xfrm>
                    <a:prstGeom prst="rect"/>
                  </pic:spPr>
                </pic:pic>
              </a:graphicData>
            </a:graphic>
          </wp:inline>
        </w:drawing>
      </w:r>
    </w:p>
    <w:p>
      <w:pPr>
        <w:spacing w:before="120" w:after="320"/>
        <w:jc w:val="left"/>
      </w:pPr>
      <w:r>
        <w:rPr>
          <w:rFonts w:ascii="Times New Roman" w:hAnsi="Times New Roman"/>
          <w:b/>
          <w:i w:val="0"/>
          <w:sz w:val="22"/>
        </w:rPr>
        <w:t xml:space="preserve">Figure 2. </w:t>
      </w:r>
      <w:r>
        <w:rPr>
          <w:rFonts w:ascii="Times New Roman" w:hAnsi="Times New Roman"/>
          <w:b w:val="0"/>
          <w:i/>
          <w:sz w:val="22"/>
        </w:rPr>
        <w:t>Forest plot: association between maternal vitamin D deficiency and SGA/FGR (k = 4; N = 9,033). Fixed-effects model; pooled OR = 1·95 (95% CI 1·47–2·59); I² = 0%. † Direction inverted to harmonise deficiency as increased risk.</w:t>
      </w:r>
    </w:p>
    <w:p>
      <w:pPr>
        <w:spacing w:before="240" w:after="120"/>
      </w:pPr>
      <w:r>
        <w:rPr>
          <w:rFonts w:ascii="Times New Roman" w:hAnsi="Times New Roman"/>
          <w:b/>
          <w:i w:val="0"/>
          <w:sz w:val="22"/>
        </w:rPr>
        <w:t xml:space="preserve">Table 2. </w:t>
      </w:r>
      <w:r>
        <w:rPr>
          <w:rFonts w:ascii="Times New Roman" w:hAnsi="Times New Roman"/>
          <w:b w:val="0"/>
          <w:i/>
          <w:sz w:val="22"/>
        </w:rPr>
        <w:t>Summary of meta-analysis results. OR = odds ratio; MD = mean difference; CI = confidence interval; GRADE = certainty of evidence. Fixed = fixed-effects (inverse-variance); NS = non-significant.</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2E4A"/>
          </w:tcPr>
          <w:p>
            <w:r/>
            <w:r>
              <w:rPr>
                <w:rFonts w:ascii="Times New Roman" w:hAnsi="Times New Roman"/>
                <w:b/>
                <w:color w:val="FFFFFF"/>
                <w:sz w:val="18"/>
              </w:rPr>
              <w:t>Analysis</w:t>
            </w:r>
          </w:p>
        </w:tc>
        <w:tc>
          <w:tcPr>
            <w:tcW w:type="dxa" w:w="1040"/>
            <w:shd w:val="clear" w:color="auto" w:fill="1A2E4A"/>
          </w:tcPr>
          <w:p>
            <w:r/>
            <w:r>
              <w:rPr>
                <w:rFonts w:ascii="Times New Roman" w:hAnsi="Times New Roman"/>
                <w:b/>
                <w:color w:val="FFFFFF"/>
                <w:sz w:val="18"/>
              </w:rPr>
              <w:t>k</w:t>
            </w:r>
          </w:p>
        </w:tc>
        <w:tc>
          <w:tcPr>
            <w:tcW w:type="dxa" w:w="1040"/>
            <w:shd w:val="clear" w:color="auto" w:fill="1A2E4A"/>
          </w:tcPr>
          <w:p>
            <w:r/>
            <w:r>
              <w:rPr>
                <w:rFonts w:ascii="Times New Roman" w:hAnsi="Times New Roman"/>
                <w:b/>
                <w:color w:val="FFFFFF"/>
                <w:sz w:val="18"/>
              </w:rPr>
              <w:t>N</w:t>
            </w:r>
          </w:p>
        </w:tc>
        <w:tc>
          <w:tcPr>
            <w:tcW w:type="dxa" w:w="1040"/>
            <w:shd w:val="clear" w:color="auto" w:fill="1A2E4A"/>
          </w:tcPr>
          <w:p>
            <w:r/>
            <w:r>
              <w:rPr>
                <w:rFonts w:ascii="Times New Roman" w:hAnsi="Times New Roman"/>
                <w:b/>
                <w:color w:val="FFFFFF"/>
                <w:sz w:val="18"/>
              </w:rPr>
              <w:t>Pooled OR</w:t>
            </w:r>
          </w:p>
        </w:tc>
        <w:tc>
          <w:tcPr>
            <w:tcW w:type="dxa" w:w="1040"/>
            <w:shd w:val="clear" w:color="auto" w:fill="1A2E4A"/>
          </w:tcPr>
          <w:p>
            <w:r/>
            <w:r>
              <w:rPr>
                <w:rFonts w:ascii="Times New Roman" w:hAnsi="Times New Roman"/>
                <w:b/>
                <w:color w:val="FFFFFF"/>
                <w:sz w:val="18"/>
              </w:rPr>
              <w:t>95% CI</w:t>
            </w:r>
          </w:p>
        </w:tc>
        <w:tc>
          <w:tcPr>
            <w:tcW w:type="dxa" w:w="1040"/>
            <w:shd w:val="clear" w:color="auto" w:fill="1A2E4A"/>
          </w:tcPr>
          <w:p>
            <w:r/>
            <w:r>
              <w:rPr>
                <w:rFonts w:ascii="Times New Roman" w:hAnsi="Times New Roman"/>
                <w:b/>
                <w:color w:val="FFFFFF"/>
                <w:sz w:val="18"/>
              </w:rPr>
              <w:t>I² (%)</w:t>
            </w:r>
          </w:p>
        </w:tc>
        <w:tc>
          <w:tcPr>
            <w:tcW w:type="dxa" w:w="1040"/>
            <w:shd w:val="clear" w:color="auto" w:fill="1A2E4A"/>
          </w:tcPr>
          <w:p>
            <w:r/>
            <w:r>
              <w:rPr>
                <w:rFonts w:ascii="Times New Roman" w:hAnsi="Times New Roman"/>
                <w:b/>
                <w:color w:val="FFFFFF"/>
                <w:sz w:val="18"/>
              </w:rPr>
              <w:t>p-het</w:t>
            </w:r>
          </w:p>
        </w:tc>
        <w:tc>
          <w:tcPr>
            <w:tcW w:type="dxa" w:w="1040"/>
            <w:shd w:val="clear" w:color="auto" w:fill="1A2E4A"/>
          </w:tcPr>
          <w:p>
            <w:r/>
            <w:r>
              <w:rPr>
                <w:rFonts w:ascii="Times New Roman" w:hAnsi="Times New Roman"/>
                <w:b/>
                <w:color w:val="FFFFFF"/>
                <w:sz w:val="18"/>
              </w:rPr>
              <w:t>Model</w:t>
            </w:r>
          </w:p>
        </w:tc>
        <w:tc>
          <w:tcPr>
            <w:tcW w:type="dxa" w:w="1040"/>
            <w:shd w:val="clear" w:color="auto" w:fill="1A2E4A"/>
          </w:tcPr>
          <w:p>
            <w:r/>
            <w:r>
              <w:rPr>
                <w:rFonts w:ascii="Times New Roman" w:hAnsi="Times New Roman"/>
                <w:b/>
                <w:color w:val="FFFFFF"/>
                <w:sz w:val="18"/>
              </w:rPr>
              <w:t>GRADE</w:t>
            </w:r>
          </w:p>
        </w:tc>
      </w:tr>
      <w:tr>
        <w:tc>
          <w:tcPr>
            <w:tcW w:type="dxa" w:w="1040"/>
          </w:tcPr>
          <w:p>
            <w:r/>
            <w:r>
              <w:rPr>
                <w:rFonts w:ascii="Times New Roman" w:hAnsi="Times New Roman"/>
                <w:color w:val="111111"/>
                <w:sz w:val="18"/>
              </w:rPr>
              <w:t>SGA/FGR (primary)</w:t>
            </w:r>
          </w:p>
        </w:tc>
        <w:tc>
          <w:tcPr>
            <w:tcW w:type="dxa" w:w="1040"/>
          </w:tcPr>
          <w:p>
            <w:r/>
            <w:r>
              <w:rPr>
                <w:rFonts w:ascii="Times New Roman" w:hAnsi="Times New Roman"/>
                <w:color w:val="111111"/>
                <w:sz w:val="18"/>
              </w:rPr>
              <w:t>4</w:t>
            </w:r>
          </w:p>
        </w:tc>
        <w:tc>
          <w:tcPr>
            <w:tcW w:type="dxa" w:w="1040"/>
          </w:tcPr>
          <w:p>
            <w:r/>
            <w:r>
              <w:rPr>
                <w:rFonts w:ascii="Times New Roman" w:hAnsi="Times New Roman"/>
                <w:color w:val="111111"/>
                <w:sz w:val="18"/>
              </w:rPr>
              <w:t>9,033</w:t>
            </w:r>
          </w:p>
        </w:tc>
        <w:tc>
          <w:tcPr>
            <w:tcW w:type="dxa" w:w="1040"/>
          </w:tcPr>
          <w:p>
            <w:r/>
            <w:r>
              <w:rPr>
                <w:rFonts w:ascii="Times New Roman" w:hAnsi="Times New Roman"/>
                <w:color w:val="111111"/>
                <w:sz w:val="18"/>
              </w:rPr>
              <w:t>1.95</w:t>
            </w:r>
          </w:p>
        </w:tc>
        <w:tc>
          <w:tcPr>
            <w:tcW w:type="dxa" w:w="1040"/>
          </w:tcPr>
          <w:p>
            <w:r/>
            <w:r>
              <w:rPr>
                <w:rFonts w:ascii="Times New Roman" w:hAnsi="Times New Roman"/>
                <w:color w:val="111111"/>
                <w:sz w:val="18"/>
              </w:rPr>
              <w:t>1.47–2.59</w:t>
            </w:r>
          </w:p>
        </w:tc>
        <w:tc>
          <w:tcPr>
            <w:tcW w:type="dxa" w:w="1040"/>
          </w:tcPr>
          <w:p>
            <w:r/>
            <w:r>
              <w:rPr>
                <w:rFonts w:ascii="Times New Roman" w:hAnsi="Times New Roman"/>
                <w:color w:val="111111"/>
                <w:sz w:val="18"/>
              </w:rPr>
              <w:t>0.0</w:t>
            </w:r>
          </w:p>
        </w:tc>
        <w:tc>
          <w:tcPr>
            <w:tcW w:type="dxa" w:w="1040"/>
          </w:tcPr>
          <w:p>
            <w:r/>
            <w:r>
              <w:rPr>
                <w:rFonts w:ascii="Times New Roman" w:hAnsi="Times New Roman"/>
                <w:color w:val="111111"/>
                <w:sz w:val="18"/>
              </w:rPr>
              <w:t>0.853</w:t>
            </w:r>
          </w:p>
        </w:tc>
        <w:tc>
          <w:tcPr>
            <w:tcW w:type="dxa" w:w="1040"/>
          </w:tcPr>
          <w:p>
            <w:r/>
            <w:r>
              <w:rPr>
                <w:rFonts w:ascii="Times New Roman" w:hAnsi="Times New Roman"/>
                <w:color w:val="111111"/>
                <w:sz w:val="18"/>
              </w:rPr>
              <w:t>Fixed</w:t>
            </w:r>
          </w:p>
        </w:tc>
        <w:tc>
          <w:tcPr>
            <w:tcW w:type="dxa" w:w="1040"/>
          </w:tcPr>
          <w:p>
            <w:r/>
            <w:r>
              <w:rPr>
                <w:rFonts w:ascii="Times New Roman" w:hAnsi="Times New Roman"/>
                <w:color w:val="111111"/>
                <w:sz w:val="18"/>
              </w:rPr>
              <w:t>Moderate</w:t>
            </w:r>
          </w:p>
        </w:tc>
      </w:tr>
      <w:tr>
        <w:tc>
          <w:tcPr>
            <w:tcW w:type="dxa" w:w="1040"/>
            <w:shd w:val="clear" w:color="auto" w:fill="F5F6F8"/>
          </w:tcPr>
          <w:p>
            <w:r/>
            <w:r>
              <w:rPr>
                <w:rFonts w:ascii="Times New Roman" w:hAnsi="Times New Roman"/>
                <w:color w:val="111111"/>
                <w:sz w:val="18"/>
              </w:rPr>
              <w:t>Biometry/EFW (secondary)</w:t>
            </w:r>
          </w:p>
        </w:tc>
        <w:tc>
          <w:tcPr>
            <w:tcW w:type="dxa" w:w="1040"/>
            <w:shd w:val="clear" w:color="auto" w:fill="F5F6F8"/>
          </w:tcPr>
          <w:p>
            <w:r/>
            <w:r>
              <w:rPr>
                <w:rFonts w:ascii="Times New Roman" w:hAnsi="Times New Roman"/>
                <w:color w:val="111111"/>
                <w:sz w:val="18"/>
              </w:rPr>
              <w:t>4</w:t>
            </w:r>
          </w:p>
        </w:tc>
        <w:tc>
          <w:tcPr>
            <w:tcW w:type="dxa" w:w="1040"/>
            <w:shd w:val="clear" w:color="auto" w:fill="F5F6F8"/>
          </w:tcPr>
          <w:p>
            <w:r/>
            <w:r>
              <w:rPr>
                <w:rFonts w:ascii="Times New Roman" w:hAnsi="Times New Roman"/>
                <w:color w:val="111111"/>
                <w:sz w:val="18"/>
              </w:rPr>
              <w:t>26,542</w:t>
            </w:r>
          </w:p>
        </w:tc>
        <w:tc>
          <w:tcPr>
            <w:tcW w:type="dxa" w:w="1040"/>
            <w:shd w:val="clear" w:color="auto" w:fill="F5F6F8"/>
          </w:tcPr>
          <w:p>
            <w:r/>
            <w:r>
              <w:rPr>
                <w:rFonts w:ascii="Times New Roman" w:hAnsi="Times New Roman"/>
                <w:color w:val="111111"/>
                <w:sz w:val="18"/>
              </w:rPr>
              <w:t>1.16</w:t>
            </w:r>
          </w:p>
        </w:tc>
        <w:tc>
          <w:tcPr>
            <w:tcW w:type="dxa" w:w="1040"/>
            <w:shd w:val="clear" w:color="auto" w:fill="F5F6F8"/>
          </w:tcPr>
          <w:p>
            <w:r/>
            <w:r>
              <w:rPr>
                <w:rFonts w:ascii="Times New Roman" w:hAnsi="Times New Roman"/>
                <w:color w:val="111111"/>
                <w:sz w:val="18"/>
              </w:rPr>
              <w:t>1.09–1.23</w:t>
            </w:r>
          </w:p>
        </w:tc>
        <w:tc>
          <w:tcPr>
            <w:tcW w:type="dxa" w:w="1040"/>
            <w:shd w:val="clear" w:color="auto" w:fill="F5F6F8"/>
          </w:tcPr>
          <w:p>
            <w:r/>
            <w:r>
              <w:rPr>
                <w:rFonts w:ascii="Times New Roman" w:hAnsi="Times New Roman"/>
                <w:color w:val="111111"/>
                <w:sz w:val="18"/>
              </w:rPr>
              <w:t>32.6</w:t>
            </w:r>
          </w:p>
        </w:tc>
        <w:tc>
          <w:tcPr>
            <w:tcW w:type="dxa" w:w="1040"/>
            <w:shd w:val="clear" w:color="auto" w:fill="F5F6F8"/>
          </w:tcPr>
          <w:p>
            <w:r/>
            <w:r>
              <w:rPr>
                <w:rFonts w:ascii="Times New Roman" w:hAnsi="Times New Roman"/>
                <w:color w:val="111111"/>
                <w:sz w:val="18"/>
              </w:rPr>
              <w:t>0.217</w:t>
            </w:r>
          </w:p>
        </w:tc>
        <w:tc>
          <w:tcPr>
            <w:tcW w:type="dxa" w:w="1040"/>
            <w:shd w:val="clear" w:color="auto" w:fill="F5F6F8"/>
          </w:tcPr>
          <w:p>
            <w:r/>
            <w:r>
              <w:rPr>
                <w:rFonts w:ascii="Times New Roman" w:hAnsi="Times New Roman"/>
                <w:color w:val="111111"/>
                <w:sz w:val="18"/>
              </w:rPr>
              <w:t>Fixed</w:t>
            </w:r>
          </w:p>
        </w:tc>
        <w:tc>
          <w:tcPr>
            <w:tcW w:type="dxa" w:w="1040"/>
            <w:shd w:val="clear" w:color="auto" w:fill="F5F6F8"/>
          </w:tcPr>
          <w:p>
            <w:r/>
            <w:r>
              <w:rPr>
                <w:rFonts w:ascii="Times New Roman" w:hAnsi="Times New Roman"/>
                <w:color w:val="111111"/>
                <w:sz w:val="18"/>
              </w:rPr>
              <w:t>High</w:t>
            </w:r>
          </w:p>
        </w:tc>
      </w:tr>
      <w:tr>
        <w:tc>
          <w:tcPr>
            <w:tcW w:type="dxa" w:w="1040"/>
          </w:tcPr>
          <w:p>
            <w:r/>
            <w:r>
              <w:rPr>
                <w:rFonts w:ascii="Times New Roman" w:hAnsi="Times New Roman"/>
                <w:color w:val="111111"/>
                <w:sz w:val="18"/>
              </w:rPr>
              <w:t>FL (RCT, MD)</w:t>
            </w:r>
          </w:p>
        </w:tc>
        <w:tc>
          <w:tcPr>
            <w:tcW w:type="dxa" w:w="1040"/>
          </w:tcPr>
          <w:p>
            <w:r/>
            <w:r>
              <w:rPr>
                <w:rFonts w:ascii="Times New Roman" w:hAnsi="Times New Roman"/>
                <w:color w:val="111111"/>
                <w:sz w:val="18"/>
              </w:rPr>
              <w:t>1</w:t>
            </w:r>
          </w:p>
        </w:tc>
        <w:tc>
          <w:tcPr>
            <w:tcW w:type="dxa" w:w="1040"/>
          </w:tcPr>
          <w:p>
            <w:r/>
            <w:r>
              <w:rPr>
                <w:rFonts w:ascii="Times New Roman" w:hAnsi="Times New Roman"/>
                <w:color w:val="111111"/>
                <w:sz w:val="18"/>
              </w:rPr>
              <w:t>140</w:t>
            </w:r>
          </w:p>
        </w:tc>
        <w:tc>
          <w:tcPr>
            <w:tcW w:type="dxa" w:w="1040"/>
          </w:tcPr>
          <w:p>
            <w:r/>
            <w:r>
              <w:rPr>
                <w:rFonts w:ascii="Times New Roman" w:hAnsi="Times New Roman"/>
                <w:color w:val="111111"/>
                <w:sz w:val="18"/>
              </w:rPr>
              <w:t>+1.98 mm</w:t>
            </w:r>
          </w:p>
        </w:tc>
        <w:tc>
          <w:tcPr>
            <w:tcW w:type="dxa" w:w="1040"/>
          </w:tcPr>
          <w:p>
            <w:r/>
            <w:r>
              <w:rPr>
                <w:rFonts w:ascii="Times New Roman" w:hAnsi="Times New Roman"/>
                <w:color w:val="111111"/>
                <w:sz w:val="18"/>
              </w:rPr>
              <w:t>1.28–2.68</w:t>
            </w:r>
          </w:p>
        </w:tc>
        <w:tc>
          <w:tcPr>
            <w:tcW w:type="dxa" w:w="1040"/>
          </w:tcPr>
          <w:p>
            <w:r/>
            <w:r>
              <w:rPr>
                <w:rFonts w:ascii="Times New Roman" w:hAnsi="Times New Roman"/>
                <w:color w:val="111111"/>
                <w:sz w:val="18"/>
              </w:rPr>
              <w:t>—</w:t>
            </w:r>
          </w:p>
        </w:tc>
        <w:tc>
          <w:tcPr>
            <w:tcW w:type="dxa" w:w="1040"/>
          </w:tcPr>
          <w:p>
            <w:r/>
            <w:r>
              <w:rPr>
                <w:rFonts w:ascii="Times New Roman" w:hAnsi="Times New Roman"/>
                <w:color w:val="111111"/>
                <w:sz w:val="18"/>
              </w:rPr>
              <w:t>—</w:t>
            </w:r>
          </w:p>
        </w:tc>
        <w:tc>
          <w:tcPr>
            <w:tcW w:type="dxa" w:w="1040"/>
          </w:tcPr>
          <w:p>
            <w:r/>
            <w:r>
              <w:rPr>
                <w:rFonts w:ascii="Times New Roman" w:hAnsi="Times New Roman"/>
                <w:color w:val="111111"/>
                <w:sz w:val="18"/>
              </w:rPr>
              <w:t>Single</w:t>
            </w:r>
          </w:p>
        </w:tc>
        <w:tc>
          <w:tcPr>
            <w:tcW w:type="dxa" w:w="1040"/>
          </w:tcPr>
          <w:p>
            <w:r/>
            <w:r>
              <w:rPr>
                <w:rFonts w:ascii="Times New Roman" w:hAnsi="Times New Roman"/>
                <w:color w:val="111111"/>
                <w:sz w:val="18"/>
              </w:rPr>
              <w:t>Moderate</w:t>
            </w:r>
          </w:p>
        </w:tc>
      </w:tr>
      <w:tr>
        <w:tc>
          <w:tcPr>
            <w:tcW w:type="dxa" w:w="1040"/>
            <w:shd w:val="clear" w:color="auto" w:fill="F5F6F8"/>
          </w:tcPr>
          <w:p>
            <w:r/>
            <w:r>
              <w:rPr>
                <w:rFonts w:ascii="Times New Roman" w:hAnsi="Times New Roman"/>
                <w:color w:val="111111"/>
                <w:sz w:val="18"/>
              </w:rPr>
              <w:t>HL (RCT, MD)</w:t>
            </w:r>
          </w:p>
        </w:tc>
        <w:tc>
          <w:tcPr>
            <w:tcW w:type="dxa" w:w="1040"/>
            <w:shd w:val="clear" w:color="auto" w:fill="F5F6F8"/>
          </w:tcPr>
          <w:p>
            <w:r/>
            <w:r>
              <w:rPr>
                <w:rFonts w:ascii="Times New Roman" w:hAnsi="Times New Roman"/>
                <w:color w:val="111111"/>
                <w:sz w:val="18"/>
              </w:rPr>
              <w:t>1</w:t>
            </w:r>
          </w:p>
        </w:tc>
        <w:tc>
          <w:tcPr>
            <w:tcW w:type="dxa" w:w="1040"/>
            <w:shd w:val="clear" w:color="auto" w:fill="F5F6F8"/>
          </w:tcPr>
          <w:p>
            <w:r/>
            <w:r>
              <w:rPr>
                <w:rFonts w:ascii="Times New Roman" w:hAnsi="Times New Roman"/>
                <w:color w:val="111111"/>
                <w:sz w:val="18"/>
              </w:rPr>
              <w:t>140</w:t>
            </w:r>
          </w:p>
        </w:tc>
        <w:tc>
          <w:tcPr>
            <w:tcW w:type="dxa" w:w="1040"/>
            <w:shd w:val="clear" w:color="auto" w:fill="F5F6F8"/>
          </w:tcPr>
          <w:p>
            <w:r/>
            <w:r>
              <w:rPr>
                <w:rFonts w:ascii="Times New Roman" w:hAnsi="Times New Roman"/>
                <w:color w:val="111111"/>
                <w:sz w:val="18"/>
              </w:rPr>
              <w:t>+1.39 mm</w:t>
            </w:r>
          </w:p>
        </w:tc>
        <w:tc>
          <w:tcPr>
            <w:tcW w:type="dxa" w:w="1040"/>
            <w:shd w:val="clear" w:color="auto" w:fill="F5F6F8"/>
          </w:tcPr>
          <w:p>
            <w:r/>
            <w:r>
              <w:rPr>
                <w:rFonts w:ascii="Times New Roman" w:hAnsi="Times New Roman"/>
                <w:color w:val="111111"/>
                <w:sz w:val="18"/>
              </w:rPr>
              <w:t>0.72–2.06</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Single</w:t>
            </w:r>
          </w:p>
        </w:tc>
        <w:tc>
          <w:tcPr>
            <w:tcW w:type="dxa" w:w="1040"/>
            <w:shd w:val="clear" w:color="auto" w:fill="F5F6F8"/>
          </w:tcPr>
          <w:p>
            <w:r/>
            <w:r>
              <w:rPr>
                <w:rFonts w:ascii="Times New Roman" w:hAnsi="Times New Roman"/>
                <w:color w:val="111111"/>
                <w:sz w:val="18"/>
              </w:rPr>
              <w:t>Moderate</w:t>
            </w:r>
          </w:p>
        </w:tc>
      </w:tr>
      <w:tr>
        <w:tc>
          <w:tcPr>
            <w:tcW w:type="dxa" w:w="1040"/>
          </w:tcPr>
          <w:p>
            <w:r/>
            <w:r>
              <w:rPr>
                <w:rFonts w:ascii="Times New Roman" w:hAnsi="Times New Roman"/>
                <w:color w:val="111111"/>
                <w:sz w:val="18"/>
              </w:rPr>
              <w:t>EFW (RCT, MD)</w:t>
            </w:r>
          </w:p>
        </w:tc>
        <w:tc>
          <w:tcPr>
            <w:tcW w:type="dxa" w:w="1040"/>
          </w:tcPr>
          <w:p>
            <w:r/>
            <w:r>
              <w:rPr>
                <w:rFonts w:ascii="Times New Roman" w:hAnsi="Times New Roman"/>
                <w:color w:val="111111"/>
                <w:sz w:val="18"/>
              </w:rPr>
              <w:t>1</w:t>
            </w:r>
          </w:p>
        </w:tc>
        <w:tc>
          <w:tcPr>
            <w:tcW w:type="dxa" w:w="1040"/>
          </w:tcPr>
          <w:p>
            <w:r/>
            <w:r>
              <w:rPr>
                <w:rFonts w:ascii="Times New Roman" w:hAnsi="Times New Roman"/>
                <w:color w:val="111111"/>
                <w:sz w:val="18"/>
              </w:rPr>
              <w:t>100</w:t>
            </w:r>
          </w:p>
        </w:tc>
        <w:tc>
          <w:tcPr>
            <w:tcW w:type="dxa" w:w="1040"/>
          </w:tcPr>
          <w:p>
            <w:r/>
            <w:r>
              <w:rPr>
                <w:rFonts w:ascii="Times New Roman" w:hAnsi="Times New Roman"/>
                <w:color w:val="111111"/>
                <w:sz w:val="18"/>
              </w:rPr>
              <w:t>+277 g</w:t>
            </w:r>
          </w:p>
        </w:tc>
        <w:tc>
          <w:tcPr>
            <w:tcW w:type="dxa" w:w="1040"/>
          </w:tcPr>
          <w:p>
            <w:r/>
            <w:r>
              <w:rPr>
                <w:rFonts w:ascii="Times New Roman" w:hAnsi="Times New Roman"/>
                <w:color w:val="111111"/>
                <w:sz w:val="18"/>
              </w:rPr>
              <w:t>100–454</w:t>
            </w:r>
          </w:p>
        </w:tc>
        <w:tc>
          <w:tcPr>
            <w:tcW w:type="dxa" w:w="1040"/>
          </w:tcPr>
          <w:p>
            <w:r/>
            <w:r>
              <w:rPr>
                <w:rFonts w:ascii="Times New Roman" w:hAnsi="Times New Roman"/>
                <w:color w:val="111111"/>
                <w:sz w:val="18"/>
              </w:rPr>
              <w:t>—</w:t>
            </w:r>
          </w:p>
        </w:tc>
        <w:tc>
          <w:tcPr>
            <w:tcW w:type="dxa" w:w="1040"/>
          </w:tcPr>
          <w:p>
            <w:r/>
            <w:r>
              <w:rPr>
                <w:rFonts w:ascii="Times New Roman" w:hAnsi="Times New Roman"/>
                <w:color w:val="111111"/>
                <w:sz w:val="18"/>
              </w:rPr>
              <w:t>—</w:t>
            </w:r>
          </w:p>
        </w:tc>
        <w:tc>
          <w:tcPr>
            <w:tcW w:type="dxa" w:w="1040"/>
          </w:tcPr>
          <w:p>
            <w:r/>
            <w:r>
              <w:rPr>
                <w:rFonts w:ascii="Times New Roman" w:hAnsi="Times New Roman"/>
                <w:color w:val="111111"/>
                <w:sz w:val="18"/>
              </w:rPr>
              <w:t>Single</w:t>
            </w:r>
          </w:p>
        </w:tc>
        <w:tc>
          <w:tcPr>
            <w:tcW w:type="dxa" w:w="1040"/>
          </w:tcPr>
          <w:p>
            <w:r/>
            <w:r>
              <w:rPr>
                <w:rFonts w:ascii="Times New Roman" w:hAnsi="Times New Roman"/>
                <w:color w:val="111111"/>
                <w:sz w:val="18"/>
              </w:rPr>
              <w:t>Low</w:t>
            </w:r>
          </w:p>
        </w:tc>
      </w:tr>
      <w:tr>
        <w:tc>
          <w:tcPr>
            <w:tcW w:type="dxa" w:w="1040"/>
            <w:shd w:val="clear" w:color="auto" w:fill="F5F6F8"/>
          </w:tcPr>
          <w:p>
            <w:r/>
            <w:r>
              <w:rPr>
                <w:rFonts w:ascii="Times New Roman" w:hAnsi="Times New Roman"/>
                <w:color w:val="111111"/>
                <w:sz w:val="18"/>
              </w:rPr>
              <w:t>Adiposity</w:t>
            </w:r>
          </w:p>
        </w:tc>
        <w:tc>
          <w:tcPr>
            <w:tcW w:type="dxa" w:w="1040"/>
            <w:shd w:val="clear" w:color="auto" w:fill="F5F6F8"/>
          </w:tcPr>
          <w:p>
            <w:r/>
            <w:r>
              <w:rPr>
                <w:rFonts w:ascii="Times New Roman" w:hAnsi="Times New Roman"/>
                <w:color w:val="111111"/>
                <w:sz w:val="18"/>
              </w:rPr>
              <w:t>2</w:t>
            </w:r>
          </w:p>
        </w:tc>
        <w:tc>
          <w:tcPr>
            <w:tcW w:type="dxa" w:w="1040"/>
            <w:shd w:val="clear" w:color="auto" w:fill="F5F6F8"/>
          </w:tcPr>
          <w:p>
            <w:r/>
            <w:r>
              <w:rPr>
                <w:rFonts w:ascii="Times New Roman" w:hAnsi="Times New Roman"/>
                <w:color w:val="111111"/>
                <w:sz w:val="18"/>
              </w:rPr>
              <w:t>2,447</w:t>
            </w:r>
          </w:p>
        </w:tc>
        <w:tc>
          <w:tcPr>
            <w:tcW w:type="dxa" w:w="1040"/>
            <w:shd w:val="clear" w:color="auto" w:fill="F5F6F8"/>
          </w:tcPr>
          <w:p>
            <w:r/>
            <w:r>
              <w:rPr>
                <w:rFonts w:ascii="Times New Roman" w:hAnsi="Times New Roman"/>
                <w:color w:val="111111"/>
                <w:sz w:val="18"/>
              </w:rPr>
              <w:t>NS</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w:t>
            </w:r>
          </w:p>
        </w:tc>
        <w:tc>
          <w:tcPr>
            <w:tcW w:type="dxa" w:w="1040"/>
            <w:shd w:val="clear" w:color="auto" w:fill="F5F6F8"/>
          </w:tcPr>
          <w:p>
            <w:r/>
            <w:r>
              <w:rPr>
                <w:rFonts w:ascii="Times New Roman" w:hAnsi="Times New Roman"/>
                <w:color w:val="111111"/>
                <w:sz w:val="18"/>
              </w:rPr>
              <w:t>Low</w:t>
            </w:r>
          </w:p>
        </w:tc>
      </w:tr>
    </w:tbl>
    <w:p/>
    <w:p>
      <w:pPr>
        <w:pStyle w:val="Heading2"/>
      </w:pPr>
      <w:r>
        <w:rPr>
          <w:rFonts w:ascii="Times New Roman" w:hAnsi="Times New Roman"/>
          <w:color w:val="1A2E4A"/>
        </w:rPr>
        <w:t>Sensitivity analyses for SGA/FGR</w:t>
      </w:r>
    </w:p>
    <w:p>
      <w:r>
        <w:rPr>
          <w:rFonts w:ascii="Times New Roman" w:hAnsi="Times New Roman"/>
          <w:b w:val="0"/>
          <w:i w:val="0"/>
          <w:sz w:val="24"/>
        </w:rPr>
        <w:t>Leave-one-out analysis confirmed the robustness of the pooled estimate: all leave-one-out ORs remained statistically significant and ranged from 1·66 to 2·10 (figure S2). When the analysis was restricted to prospective and observational cohort studies only (excluding case-control designs), the pooled OR was similar (OR 1·93 [95% CI 1·45–2·57]).</w:t>
      </w:r>
    </w:p>
    <w:p>
      <w:pPr>
        <w:ind w:firstLine="720"/>
      </w:pPr>
      <w:r>
        <w:rPr>
          <w:rFonts w:ascii="Times New Roman" w:hAnsi="Times New Roman"/>
          <w:b w:val="0"/>
          <w:i w:val="0"/>
          <w:sz w:val="24"/>
        </w:rPr>
        <w:t>In a sensitivity analysis including Alimohammadi et al. (2020)—a case-control study with an approximate confidence interval (OR 6·81 [2·20–21·14])—the pooled estimate shifted to OR 2·46 (1·45–4·17) under a random-effects model (I² = 52%), suggesting that this study was a potential outlier and appropriately excluded from the primary analysis.</w:t>
      </w:r>
    </w:p>
    <w:p>
      <w:pPr>
        <w:ind w:firstLine="720"/>
      </w:pPr>
      <w:r>
        <w:rPr>
          <w:rFonts w:ascii="Times New Roman" w:hAnsi="Times New Roman"/>
          <w:b w:val="0"/>
          <w:i w:val="0"/>
          <w:sz w:val="24"/>
        </w:rPr>
        <w:t>Subgroup analysis by vitamin D deficiency threshold showed directionally consistent results: studies using a cutoff of &lt; 25 nmol/L (k = 1; OR 2·07), ≤ 30 nmol/L (k = 2; pooled OR 1·95), and ≤ 50 nmol/L (k = 1; OR 1·28) all favoured an increased risk with deficiency (figure S3).</w:t>
      </w:r>
    </w:p>
    <w:p>
      <w:pPr>
        <w:pStyle w:val="Heading2"/>
      </w:pPr>
      <w:r>
        <w:rPr>
          <w:rFonts w:ascii="Times New Roman" w:hAnsi="Times New Roman"/>
          <w:color w:val="1A2E4A"/>
        </w:rPr>
        <w:t>Secondary meta-analysis: fetal biometry and EFW</w:t>
      </w:r>
    </w:p>
    <w:p>
      <w:r>
        <w:rPr>
          <w:rFonts w:ascii="Times New Roman" w:hAnsi="Times New Roman"/>
          <w:b w:val="0"/>
          <w:i w:val="0"/>
          <w:sz w:val="24"/>
        </w:rPr>
        <w:t>Four study estimates from two independent cohorts (Liu et al., 2020 [two strata]; Morales et al., 2015 [AC and EFW]) involving 26,542 participants were pooled for the biometry/EFW outcome (figure 3). The pooled OR was 1·16 (95% CI 1·09–1·23; I² = 33%; Cochran’s Q = 4·45, df = 3, p = 0·217), using a fixed-effects model. The GRADE certainty of evidence was rated as high.</w:t>
      </w:r>
    </w:p>
    <w:p>
      <w:pPr>
        <w:ind w:firstLine="720"/>
      </w:pPr>
      <w:r>
        <w:rPr>
          <w:rFonts w:ascii="Times New Roman" w:hAnsi="Times New Roman"/>
          <w:b w:val="0"/>
          <w:i w:val="0"/>
          <w:sz w:val="24"/>
        </w:rPr>
        <w:t>Liu et al. (2020) reported that the combined effect of vitamin D deficiency and gestational diabetes mellitus (GDM) on excessive EFW was stronger (OR 1·36 [1·15–1·62]) than vitamin D deficiency alone (OR 1·11 [1·02–1·21]), suggesting a potential synergistic effect. Morales et al. (2015) found that each 10 ng/mL decrease in maternal 25(OH)D at 10 weeks’ gestation was associated with increased odds of AC &lt; 10th centile (OR 1·14 [1·00–1·31]) and EFW &lt; 10th centile (OR 1·18 [1·03–1·36]).</w:t>
      </w:r>
    </w:p>
    <w:p>
      <w:pPr>
        <w:jc w:val="center"/>
      </w:pPr>
      <w:r>
        <w:drawing>
          <wp:inline xmlns:a="http://schemas.openxmlformats.org/drawingml/2006/main" xmlns:pic="http://schemas.openxmlformats.org/drawingml/2006/picture">
            <wp:extent cx="5943600" cy="2179320"/>
            <wp:docPr id="3" name="Picture 3"/>
            <wp:cNvGraphicFramePr>
              <a:graphicFrameLocks noChangeAspect="1"/>
            </wp:cNvGraphicFramePr>
            <a:graphic>
              <a:graphicData uri="http://schemas.openxmlformats.org/drawingml/2006/picture">
                <pic:pic>
                  <pic:nvPicPr>
                    <pic:cNvPr id="0" name="Forest_Biometry_EFW.png"/>
                    <pic:cNvPicPr/>
                  </pic:nvPicPr>
                  <pic:blipFill>
                    <a:blip r:embed="rId11"/>
                    <a:stretch>
                      <a:fillRect/>
                    </a:stretch>
                  </pic:blipFill>
                  <pic:spPr>
                    <a:xfrm>
                      <a:off x="0" y="0"/>
                      <a:ext cx="5943600" cy="2179320"/>
                    </a:xfrm>
                    <a:prstGeom prst="rect"/>
                  </pic:spPr>
                </pic:pic>
              </a:graphicData>
            </a:graphic>
          </wp:inline>
        </w:drawing>
      </w:r>
    </w:p>
    <w:p>
      <w:pPr>
        <w:spacing w:before="120" w:after="320"/>
        <w:jc w:val="left"/>
      </w:pPr>
      <w:r>
        <w:rPr>
          <w:rFonts w:ascii="Times New Roman" w:hAnsi="Times New Roman"/>
          <w:b/>
          <w:i w:val="0"/>
          <w:sz w:val="22"/>
        </w:rPr>
        <w:t xml:space="preserve">Figure 3. </w:t>
      </w:r>
      <w:r>
        <w:rPr>
          <w:rFonts w:ascii="Times New Roman" w:hAnsi="Times New Roman"/>
          <w:b w:val="0"/>
          <w:i/>
          <w:sz w:val="22"/>
        </w:rPr>
        <w:t>Forest plot: association between maternal vitamin D deficiency and fetal biometry/EFW (k = 4; N = 26,542). Fixed-effects model; pooled OR = 1·16 (95% CI 1·09–1·23); I² = 33%.</w:t>
      </w:r>
    </w:p>
    <w:p>
      <w:pPr>
        <w:pStyle w:val="Heading2"/>
      </w:pPr>
      <w:r>
        <w:rPr>
          <w:rFonts w:ascii="Times New Roman" w:hAnsi="Times New Roman"/>
          <w:color w:val="1A2E4A"/>
        </w:rPr>
        <w:t>RCT continuous outcomes</w:t>
      </w:r>
    </w:p>
    <w:p>
      <w:r>
        <w:rPr>
          <w:rFonts w:ascii="Times New Roman" w:hAnsi="Times New Roman"/>
          <w:b w:val="0"/>
          <w:i w:val="0"/>
          <w:sz w:val="24"/>
        </w:rPr>
        <w:t>Two RCTs reported continuous fetal biometry outcomes with vitamin D supplementation (figure 4). Vafaei et al. (2019), a low risk-of-bias trial of 140 pregnant women receiving 1000 IU/day vitamin D, found significant increases in femur length (MD +1·98 mm [95% CI 1·28–2·68]; p &lt; 0·001) and humerus length (MD +1·39 mm [0·72–2·06]; p &lt; 0·001) at the second trimester.</w:t>
      </w:r>
    </w:p>
    <w:p>
      <w:pPr>
        <w:ind w:firstLine="720"/>
      </w:pPr>
      <w:r>
        <w:rPr>
          <w:rFonts w:ascii="Times New Roman" w:hAnsi="Times New Roman"/>
          <w:b w:val="0"/>
          <w:i w:val="0"/>
          <w:sz w:val="24"/>
        </w:rPr>
        <w:t>Srilekha et al. (2021), classified as high risk of bias, reported larger effects with supplementation: EFW +277 g (p &lt; 0·01), BPD +4·77 mm, and FL +3·03 mm. However, these findings should be interpreted with caution given the methodological limitations, including unclear allocation concealment and absence of outcome assessor blinding.</w:t>
      </w:r>
    </w:p>
    <w:p>
      <w:pPr>
        <w:jc w:val="center"/>
      </w:pPr>
      <w:r>
        <w:drawing>
          <wp:inline xmlns:a="http://schemas.openxmlformats.org/drawingml/2006/main" xmlns:pic="http://schemas.openxmlformats.org/drawingml/2006/picture">
            <wp:extent cx="5943600" cy="2179320"/>
            <wp:docPr id="4" name="Picture 4"/>
            <wp:cNvGraphicFramePr>
              <a:graphicFrameLocks noChangeAspect="1"/>
            </wp:cNvGraphicFramePr>
            <a:graphic>
              <a:graphicData uri="http://schemas.openxmlformats.org/drawingml/2006/picture">
                <pic:pic>
                  <pic:nvPicPr>
                    <pic:cNvPr id="0" name="Forest_RCT_MD.png"/>
                    <pic:cNvPicPr/>
                  </pic:nvPicPr>
                  <pic:blipFill>
                    <a:blip r:embed="rId12"/>
                    <a:stretch>
                      <a:fillRect/>
                    </a:stretch>
                  </pic:blipFill>
                  <pic:spPr>
                    <a:xfrm>
                      <a:off x="0" y="0"/>
                      <a:ext cx="5943600" cy="2179320"/>
                    </a:xfrm>
                    <a:prstGeom prst="rect"/>
                  </pic:spPr>
                </pic:pic>
              </a:graphicData>
            </a:graphic>
          </wp:inline>
        </w:drawing>
      </w:r>
    </w:p>
    <w:p>
      <w:pPr>
        <w:spacing w:before="120" w:after="320"/>
        <w:jc w:val="left"/>
      </w:pPr>
      <w:r>
        <w:rPr>
          <w:rFonts w:ascii="Times New Roman" w:hAnsi="Times New Roman"/>
          <w:b/>
          <w:i w:val="0"/>
          <w:sz w:val="22"/>
        </w:rPr>
        <w:t xml:space="preserve">Figure 4. </w:t>
      </w:r>
      <w:r>
        <w:rPr>
          <w:rFonts w:ascii="Times New Roman" w:hAnsi="Times New Roman"/>
          <w:b w:val="0"/>
          <w:i/>
          <w:sz w:val="22"/>
        </w:rPr>
        <w:t>Forest plot: RCT continuous outcomes (mean difference). Green = Vafaei 2019 (low RoB); blue = Srilekha 2021 (high RoB). *** p &lt; 0·001.</w:t>
      </w:r>
    </w:p>
    <w:p>
      <w:pPr>
        <w:pStyle w:val="Heading2"/>
      </w:pPr>
      <w:r>
        <w:rPr>
          <w:rFonts w:ascii="Times New Roman" w:hAnsi="Times New Roman"/>
          <w:color w:val="1A2E4A"/>
        </w:rPr>
        <w:t>Publication bias</w:t>
      </w:r>
    </w:p>
    <w:p>
      <w:r>
        <w:rPr>
          <w:rFonts w:ascii="Times New Roman" w:hAnsi="Times New Roman"/>
          <w:b w:val="0"/>
          <w:i w:val="0"/>
          <w:sz w:val="24"/>
        </w:rPr>
        <w:t>Egger’s linear regression test could not be reliably performed for the SGA/FGR meta-analysis due to the small number of studies (k = 4), which limits the statistical power of funnel plot asymmetry tests. Begg’s rank correlation test was non-significant. Duval &amp; Tweedie trim-and-fill analysis imputed no additional studies for SGA/FGR, indicating no evidence of funnel plot asymmetry (figure S4). For biometry/EFW, trim-and-fill analysis also imputed no studies, and the adjusted estimate remained unchanged.</w:t>
      </w:r>
    </w:p>
    <w:p>
      <w:pPr>
        <w:pStyle w:val="Heading2"/>
      </w:pPr>
      <w:r>
        <w:rPr>
          <w:rFonts w:ascii="Times New Roman" w:hAnsi="Times New Roman"/>
          <w:color w:val="1A2E4A"/>
        </w:rPr>
        <w:t>Narrative synthesis of remaining studies</w:t>
      </w:r>
    </w:p>
    <w:p>
      <w:r>
        <w:rPr>
          <w:rFonts w:ascii="Times New Roman" w:hAnsi="Times New Roman"/>
          <w:b w:val="0"/>
          <w:i w:val="0"/>
          <w:sz w:val="24"/>
        </w:rPr>
        <w:t>Eighteen studies could not be included in the meta-analysis due to heterogeneous outcome definitions, non-comparable effect measures, or insufficient reporting of quantitative data. Among these, notable findings included: Lee D.H. et al. (2015) reported a significant correlation between changes in maternal 25(OH)D and changes in BPD during pregnancy (r = 0·14, p = 0·03) using generalised estimating equations; Young et al. (2012) found a significant vitamin D–calcium interaction effect on fetal femur z-score (β = 0·15, p &lt; 0·05); and Lee S.B. et al. (2023) reported that severe deficiency (&lt; 25 nmol/L) was associated with developmental delay (aOR 4·28 [1·40–13·05]).</w:t>
      </w:r>
    </w:p>
    <w:p>
      <w:pPr>
        <w:ind w:firstLine="720"/>
      </w:pPr>
      <w:r>
        <w:rPr>
          <w:rFonts w:ascii="Times New Roman" w:hAnsi="Times New Roman"/>
          <w:b w:val="0"/>
          <w:i w:val="0"/>
          <w:sz w:val="24"/>
        </w:rPr>
        <w:t>Regarding fetal adiposity, only Akita et al. (2025) and Morales et al. (2015) provided relevant data. Neither study found a significant association between maternal 25(OH)D and fetal adiposity measures, though both had limited sample sizes for this specific outcome. The GRADE certainty for adiposity was rated as low.</w:t>
      </w:r>
    </w:p>
    <w:p>
      <w:pPr>
        <w:pStyle w:val="Heading2"/>
      </w:pPr>
      <w:r>
        <w:rPr>
          <w:rFonts w:ascii="Times New Roman" w:hAnsi="Times New Roman"/>
          <w:color w:val="1A2E4A"/>
        </w:rPr>
        <w:t>GRADE evidence profile</w:t>
      </w:r>
    </w:p>
    <w:p>
      <w:r>
        <w:rPr>
          <w:rFonts w:ascii="Times New Roman" w:hAnsi="Times New Roman"/>
          <w:b w:val="0"/>
          <w:i w:val="0"/>
          <w:sz w:val="24"/>
        </w:rPr>
        <w:t>The certainty of evidence varied by outcome (figure S5): high for biometry/EFW (consistent, precise, large sample), moderate for SGA/FGR (downgraded for indirectness due to varied deficiency thresholds), moderate for femur and humerus length from RCTs (single study), low for EFW/BPD from the high risk-of-bias RCT, and low for fetal adiposity (imprecision and limited data).</w:t>
      </w:r>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GRADE_Profile.png"/>
                    <pic:cNvPicPr/>
                  </pic:nvPicPr>
                  <pic:blipFill>
                    <a:blip r:embed="rId13"/>
                    <a:stretch>
                      <a:fillRect/>
                    </a:stretch>
                  </pic:blipFill>
                  <pic:spPr>
                    <a:xfrm>
                      <a:off x="0" y="0"/>
                      <a:ext cx="5486400" cy="3840480"/>
                    </a:xfrm>
                    <a:prstGeom prst="rect"/>
                  </pic:spPr>
                </pic:pic>
              </a:graphicData>
            </a:graphic>
          </wp:inline>
        </w:drawing>
      </w:r>
    </w:p>
    <w:p>
      <w:pPr>
        <w:spacing w:before="120" w:after="320"/>
        <w:jc w:val="left"/>
      </w:pPr>
      <w:r>
        <w:rPr>
          <w:rFonts w:ascii="Times New Roman" w:hAnsi="Times New Roman"/>
          <w:b/>
          <w:i w:val="0"/>
          <w:sz w:val="22"/>
        </w:rPr>
        <w:t xml:space="preserve">Figure 5. </w:t>
      </w:r>
      <w:r>
        <w:rPr>
          <w:rFonts w:ascii="Times New Roman" w:hAnsi="Times New Roman"/>
          <w:b w:val="0"/>
          <w:i/>
          <w:sz w:val="22"/>
        </w:rPr>
        <w:t>GRADE evidence profile: certainty of evidence by outcome. High (green), Moderate (navy), Low (orange).</w:t>
      </w:r>
    </w:p>
    <w:p>
      <w:r>
        <w:br w:type="page"/>
      </w:r>
    </w:p>
    <w:p>
      <w:pPr>
        <w:pStyle w:val="Heading1"/>
      </w:pPr>
      <w:r>
        <w:rPr>
          <w:rFonts w:ascii="Times New Roman" w:hAnsi="Times New Roman"/>
          <w:color w:val="1A2E4A"/>
        </w:rPr>
        <w:t>Discussion</w:t>
      </w:r>
    </w:p>
    <w:p>
      <w:pPr>
        <w:ind w:firstLine="720"/>
      </w:pPr>
      <w:r>
        <w:rPr>
          <w:rFonts w:ascii="Times New Roman" w:hAnsi="Times New Roman"/>
          <w:b w:val="0"/>
          <w:i w:val="0"/>
          <w:sz w:val="24"/>
        </w:rPr>
        <w:t>This systematic review and meta-analysis, comprising 26 studies and 26,542 participants from 16 countries, provides robust evidence that maternal vitamin D deficiency during pregnancy is associated with impaired fetal growth. The primary meta-analysis demonstrated a nearly two-fold increased risk of SGA/FGR (OR 1·95 [1·47–2·59]) among vitamin D-deficient pregnancies, with no heterogeneity (I² = 0%) and consistent results across all sensitivity analyses. The secondary analysis confirmed a modest but significant association with altered fetal biometry and EFW (OR 1·16 [1·09–1·23]; GRADE: high certainty).</w:t>
      </w:r>
    </w:p>
    <w:p>
      <w:pPr>
        <w:ind w:firstLine="720"/>
      </w:pPr>
      <w:r>
        <w:rPr>
          <w:rFonts w:ascii="Times New Roman" w:hAnsi="Times New Roman"/>
          <w:b w:val="0"/>
          <w:i w:val="0"/>
          <w:sz w:val="24"/>
        </w:rPr>
        <w:t>Our findings for SGA/FGR are consistent with, and extend, previous meta-analyses. A 2018 meta-analysis of observational studies reported a pooled OR of 1·55 (1·30–1·84) for the association between vitamin D deficiency and SGA, based on a larger but methodologically heterogeneous pool of studies. (22) Our estimate is higher (OR 1·95), which may reflect the restriction to studies using HPLC-MS/MS—the reference standard for 25(OH)D measurement—in the primary analysis, thereby reducing measurement error and potential attenuation bias. A meta-analysis of RCTs similarly reported that vitamin D supplementation reduced SGA risk (RR 0·72 [0·57–0·92]), (23) providing complementary evidence from an interventional perspective.</w:t>
      </w:r>
    </w:p>
    <w:p>
      <w:pPr>
        <w:ind w:firstLine="720"/>
      </w:pPr>
      <w:r>
        <w:rPr>
          <w:rFonts w:ascii="Times New Roman" w:hAnsi="Times New Roman"/>
          <w:b w:val="0"/>
          <w:i w:val="0"/>
          <w:sz w:val="24"/>
        </w:rPr>
        <w:t>The biological plausibility of the observed association is well-supported. Vitamin D modulates placental calcium transport through regulation of calbindin-D and TRPV6 channels, both essential for fetal skeletal mineralisation. (24) Additionally, 25(OH)D exerts immunomodulatory effects at the maternal–fetal interface, influencing trophoblast invasion, spiral artery remodelling, and anti-inflammatory cytokine production. (25) Deficiency may therefore impair both nutrient transfer and placental vascular development, leading to fetal growth restriction.</w:t>
      </w:r>
    </w:p>
    <w:p>
      <w:pPr>
        <w:ind w:firstLine="720"/>
      </w:pPr>
      <w:r>
        <w:rPr>
          <w:rFonts w:ascii="Times New Roman" w:hAnsi="Times New Roman"/>
          <w:b w:val="0"/>
          <w:i w:val="0"/>
          <w:sz w:val="24"/>
        </w:rPr>
        <w:t>The finding that all studies included in the SGA/FGR meta-analysis used HPLC-MS/MS is noteworthy. Immunoassays, which were used in the majority of included studies (69%), are known to have variable cross-reactivity with vitamin D metabolites and lower accuracy compared with mass spectrometry-based methods. (26) This methodological difference may contribute to the inconsistent findings across observational studies and underscores the importance of standardised measurement approaches in future research.</w:t>
      </w:r>
    </w:p>
    <w:p>
      <w:pPr>
        <w:ind w:firstLine="720"/>
      </w:pPr>
      <w:r>
        <w:rPr>
          <w:rFonts w:ascii="Times New Roman" w:hAnsi="Times New Roman"/>
          <w:b w:val="0"/>
          <w:i w:val="0"/>
          <w:sz w:val="24"/>
        </w:rPr>
        <w:t>The geographic diversity of included studies is both a strength and a source of heterogeneity. Asian studies, which comprised 46% of the evidence base, reported the lowest mean 25(OH)D concentrations (48·0 nmol/L) and the highest proportion of significant associations. This geographic variation likely reflects differences in sun exposure, skin pigmentation, dietary habits, and supplementation practices.⁵ The subgroup analysis by deficiency threshold demonstrated consistent results regardless of the cutoff used, suggesting that the association is robust across different definitions of deficiency.</w:t>
      </w:r>
    </w:p>
    <w:p>
      <w:pPr>
        <w:ind w:firstLine="720"/>
      </w:pPr>
      <w:r>
        <w:rPr>
          <w:rFonts w:ascii="Times New Roman" w:hAnsi="Times New Roman"/>
          <w:b w:val="0"/>
          <w:i w:val="0"/>
          <w:sz w:val="24"/>
        </w:rPr>
        <w:t>The RCT evidence, while limited to two trials, provides preliminary support for a causal relationship. The significant increase in femur and humerus length with supplementation reported by Vafaei et al. (2019)—a well-conducted trial with low risk of bias—is biologically coherent with the role of vitamin D in endochondral ossification. (27) However, the larger effect sizes reported by Srilekha et al. (2021) should be interpreted cautiously given the high risk of bias. The paucity of high-quality RCTs remains a significant limitation of the evidence base.</w:t>
      </w:r>
    </w:p>
    <w:p>
      <w:pPr>
        <w:ind w:firstLine="720"/>
      </w:pPr>
      <w:r>
        <w:rPr>
          <w:rFonts w:ascii="Times New Roman" w:hAnsi="Times New Roman"/>
          <w:b w:val="0"/>
          <w:i w:val="0"/>
          <w:sz w:val="24"/>
        </w:rPr>
        <w:t>No significant association was found between maternal 25(OH)D and fetal adiposity, though this conclusion is limited by the small number of studies addressing this outcome (k = 2) and the low GRADE certainty. Animal studies have suggested that vitamin D may influence adipogenesis through effects on PPARγ and Wnt signalling pathways, (28) but human evidence remains insufficient to confirm this hypothesis in the fetal compartment.</w:t>
      </w:r>
    </w:p>
    <w:p>
      <w:pPr>
        <w:pStyle w:val="Heading2"/>
      </w:pPr>
      <w:r>
        <w:rPr>
          <w:rFonts w:ascii="Times New Roman" w:hAnsi="Times New Roman"/>
          <w:color w:val="1A2E4A"/>
        </w:rPr>
        <w:t>Strengths and limitations</w:t>
      </w:r>
    </w:p>
    <w:p>
      <w:pPr>
        <w:ind w:firstLine="720"/>
      </w:pPr>
      <w:r>
        <w:rPr>
          <w:rFonts w:ascii="Times New Roman" w:hAnsi="Times New Roman"/>
          <w:b w:val="0"/>
          <w:i w:val="0"/>
          <w:sz w:val="24"/>
        </w:rPr>
        <w:t>This review has several strengths. First, the comprehensive search across six databases identified a large and geographically diverse evidence base. Second, the adaptive model selection approach ensured appropriate handling of heterogeneity. Third, the use of multiple sensitivity analyses, subgroup analyses, and trim-and-fill analysis strengthened confidence in the pooled estimates. Fourth, the dual quality assessment (JBI + NOS for observational studies; RoB 2 for RCTs) and GRADE evaluation provided transparent assessment of evidence certainty.</w:t>
      </w:r>
    </w:p>
    <w:p>
      <w:pPr>
        <w:ind w:firstLine="720"/>
      </w:pPr>
      <w:r>
        <w:rPr>
          <w:rFonts w:ascii="Times New Roman" w:hAnsi="Times New Roman"/>
          <w:b w:val="0"/>
          <w:i w:val="0"/>
          <w:sz w:val="24"/>
        </w:rPr>
        <w:t>Limitations include the small number of studies eligible for meta-analysis (k = 4 per outcome), which limited the power of publication bias tests and subgroup analyses. The heterogeneity in vitamin D deficiency thresholds and timing of 25(OH)D measurement across studies may have introduced variability. Only two RCTs were available, one with high risk of bias, precluding definitive causal conclusions. Finally, most observational studies did not adequately adjust for key confounders such as maternal BMI, ethnicity, season of blood sampling, and dietary calcium intake.</w:t>
      </w:r>
    </w:p>
    <w:p>
      <w:r>
        <w:br w:type="page"/>
      </w:r>
    </w:p>
    <w:p>
      <w:pPr>
        <w:pStyle w:val="Heading1"/>
      </w:pPr>
      <w:r>
        <w:rPr>
          <w:rFonts w:ascii="Times New Roman" w:hAnsi="Times New Roman"/>
          <w:color w:val="1A2E4A"/>
        </w:rPr>
        <w:t>Conclusion</w:t>
      </w:r>
    </w:p>
    <w:p>
      <w:r>
        <w:rPr>
          <w:rFonts w:ascii="Times New Roman" w:hAnsi="Times New Roman"/>
          <w:b w:val="0"/>
          <w:i w:val="0"/>
          <w:sz w:val="24"/>
        </w:rPr>
        <w:t>Maternal vitamin D deficiency during pregnancy is significantly and consistently associated with impaired fetal growth, particularly increased risk of SGA/FGR (OR 1·95) and altered fetal biometry. Preliminary RCT evidence suggests that supplementation may improve fetal bone growth, though the evidence remains limited. These findings support the rationale for routine screening and correction of vitamin D deficiency in pregnancy as a potential strategy to optimise fetal growth outcomes. Large-scale, well-designed RCTs with standardised supplementation protocols, consistent deficiency thresholds, and fetal adiposity as a primary endpoint are urgently needed to establish causality and inform clinical guidelines.</w:t>
      </w:r>
    </w:p>
    <w:p>
      <w:r>
        <w:br w:type="page"/>
      </w:r>
    </w:p>
    <w:p>
      <w:pPr>
        <w:pStyle w:val="Heading1"/>
      </w:pPr>
      <w:r>
        <w:rPr>
          <w:rFonts w:ascii="Times New Roman" w:hAnsi="Times New Roman"/>
          <w:color w:val="1A2E4A"/>
        </w:rPr>
        <w:t>References</w:t>
      </w:r>
    </w:p>
    <w:p>
      <w:pPr>
        <w:spacing w:after="40" w:line="276" w:lineRule="auto"/>
      </w:pPr>
      <w:r>
        <w:rPr>
          <w:rFonts w:ascii="Times New Roman" w:hAnsi="Times New Roman"/>
          <w:sz w:val="20"/>
        </w:rPr>
        <w:t>1. Bikle DD, Christakos S. New aspects of vitamin D metabolism and action—addressing the skin as source and target. Nat Rev Endocrinol 2020; 16: 234–52.</w:t>
      </w:r>
    </w:p>
    <w:p>
      <w:pPr>
        <w:spacing w:after="40" w:line="276" w:lineRule="auto"/>
      </w:pPr>
      <w:r>
        <w:rPr>
          <w:rFonts w:ascii="Times New Roman" w:hAnsi="Times New Roman"/>
          <w:sz w:val="20"/>
        </w:rPr>
        <w:t>2. Hossein-nezhad A, Holick MF. Vitamin D for health: a global perspective. Mayo Clin Proc 2013; 88: 720–55.</w:t>
      </w:r>
    </w:p>
    <w:p>
      <w:pPr>
        <w:spacing w:after="40" w:line="276" w:lineRule="auto"/>
      </w:pPr>
      <w:r>
        <w:rPr>
          <w:rFonts w:ascii="Times New Roman" w:hAnsi="Times New Roman"/>
          <w:sz w:val="20"/>
        </w:rPr>
        <w:t>3. Palaniswamy S, Williams D, Järvelin MR, Sebert S. Vitamin D and the promotion of long-term metabolic health from a programming perspective. Nutr Metab Insights 2015; 8s1: NMI.S29526.</w:t>
      </w:r>
    </w:p>
    <w:p>
      <w:pPr>
        <w:spacing w:after="40" w:line="276" w:lineRule="auto"/>
      </w:pPr>
      <w:r>
        <w:rPr>
          <w:rFonts w:ascii="Times New Roman" w:hAnsi="Times New Roman"/>
          <w:sz w:val="20"/>
        </w:rPr>
        <w:t>4. Agarwal S, Kovilam O, Agrawal DK. Vitamin D and its impact on maternal-fetal outcomes in pregnancy: a critical review. Crit Rev Food Sci Nutr 2018; 58: 755–69.</w:t>
      </w:r>
    </w:p>
    <w:p>
      <w:pPr>
        <w:spacing w:after="40" w:line="276" w:lineRule="auto"/>
      </w:pPr>
      <w:r>
        <w:rPr>
          <w:rFonts w:ascii="Times New Roman" w:hAnsi="Times New Roman"/>
          <w:sz w:val="20"/>
        </w:rPr>
        <w:t>5. Cui A, Zhang T, Xiao P, et al. Global and regional prevalence of vitamin D deficiency in population-based studies from 2000 to 2022: a pooled analysis of 7.9 million participants. Front Nutr 2023; 10: 1070808.</w:t>
      </w:r>
    </w:p>
    <w:p>
      <w:pPr>
        <w:spacing w:after="40" w:line="276" w:lineRule="auto"/>
      </w:pPr>
      <w:r>
        <w:rPr>
          <w:rFonts w:ascii="Times New Roman" w:hAnsi="Times New Roman"/>
          <w:sz w:val="20"/>
        </w:rPr>
        <w:t>6. Dunlop E, Pham NM, Van Hoang D, et al. A systematic review and meta-analysis of circulating 25-hydroxyvitamin D concentration and vitamin D status in pregnancy. J Nutr 2025 (in press).</w:t>
      </w:r>
    </w:p>
    <w:p>
      <w:pPr>
        <w:spacing w:after="40" w:line="276" w:lineRule="auto"/>
      </w:pPr>
      <w:r>
        <w:rPr>
          <w:rFonts w:ascii="Times New Roman" w:hAnsi="Times New Roman"/>
          <w:sz w:val="20"/>
        </w:rPr>
        <w:t>7. Miliku K, Vinkhuyzen A, Blanken LM, et al. Maternal vitamin D concentrations during pregnancy, fetal growth patterns, and risks of adverse birth outcomes. Am J Clin Nutr 2016; 103: 1514–22.</w:t>
      </w:r>
    </w:p>
    <w:p>
      <w:pPr>
        <w:spacing w:after="40" w:line="276" w:lineRule="auto"/>
      </w:pPr>
      <w:r>
        <w:rPr>
          <w:rFonts w:ascii="Times New Roman" w:hAnsi="Times New Roman"/>
          <w:sz w:val="20"/>
        </w:rPr>
        <w:t>8. Gernand AD, Simhan HN, Caritis S, Bodnar LM. Maternal vitamin D status and small-for-gestational-age offspring in women at high risk for preeclampsia. Obstet Gynecol 2014; 123: 40–8.</w:t>
      </w:r>
    </w:p>
    <w:p>
      <w:pPr>
        <w:spacing w:after="40" w:line="276" w:lineRule="auto"/>
      </w:pPr>
      <w:r>
        <w:rPr>
          <w:rFonts w:ascii="Times New Roman" w:hAnsi="Times New Roman"/>
          <w:sz w:val="20"/>
        </w:rPr>
        <w:t>9. Liu Z, Liu H, Xu X, et al. Combined effect of maternal vitamin D deficiency and gestational diabetes mellitus on trajectories of ultrasound-measured fetal growth. Am J Clin Nutr 2020; 111: 378–88.</w:t>
      </w:r>
    </w:p>
    <w:p>
      <w:pPr>
        <w:spacing w:after="40" w:line="276" w:lineRule="auto"/>
      </w:pPr>
      <w:r>
        <w:rPr>
          <w:rFonts w:ascii="Times New Roman" w:hAnsi="Times New Roman"/>
          <w:sz w:val="20"/>
        </w:rPr>
        <w:t>10. Morales E, Rodriguez A, Valvi D, et al. Deficit of vitamin D in pregnancy and growth and overweight in the offspring. Int J Obes 2015; 39: 61–8.</w:t>
      </w:r>
    </w:p>
    <w:p>
      <w:pPr>
        <w:spacing w:after="40" w:line="276" w:lineRule="auto"/>
      </w:pPr>
      <w:r>
        <w:rPr>
          <w:rFonts w:ascii="Times New Roman" w:hAnsi="Times New Roman"/>
          <w:sz w:val="20"/>
        </w:rPr>
        <w:t>11. Beck C, Blue NR, Silver RM, et al. Maternal vitamin D status, fetal growth patterns, and adverse pregnancy outcomes in a multisite prospective pregnancy cohort. Am J Clin Nutr 2025; 121: 532–42.</w:t>
      </w:r>
    </w:p>
    <w:p>
      <w:pPr>
        <w:spacing w:after="40" w:line="276" w:lineRule="auto"/>
      </w:pPr>
      <w:r>
        <w:rPr>
          <w:rFonts w:ascii="Times New Roman" w:hAnsi="Times New Roman"/>
          <w:sz w:val="20"/>
        </w:rPr>
        <w:t>12. Tosun G, Akar AN, Burkankulu D, Ceyhan V, Aydin E. Effect of combination of uterine artery doppler and vitamin D level on perinatal outcomes in second trimester pregnant women. J Perinat Med 2025; 53: 48–57.</w:t>
      </w:r>
    </w:p>
    <w:p>
      <w:pPr>
        <w:spacing w:after="40" w:line="276" w:lineRule="auto"/>
      </w:pPr>
      <w:r>
        <w:rPr>
          <w:rFonts w:ascii="Times New Roman" w:hAnsi="Times New Roman"/>
          <w:sz w:val="20"/>
        </w:rPr>
        <w:t>13. Wierzejska R, Jarosz M, Sawicki W, Bachanek M, Siuba-Strzelinska M. Vitamin D concentration in maternal and umbilical cord blood by season. Int J Environ Res Public Health 2020; 17: 5689.</w:t>
      </w:r>
    </w:p>
    <w:p>
      <w:pPr>
        <w:spacing w:after="40" w:line="276" w:lineRule="auto"/>
      </w:pPr>
      <w:r>
        <w:rPr>
          <w:rFonts w:ascii="Times New Roman" w:hAnsi="Times New Roman"/>
          <w:sz w:val="20"/>
        </w:rPr>
        <w:t>14. Palmrich P, Thajer A, Schirwani N, et al. Longitudinal assessment of serum 25-hydroxyvitamin D levels during pregnancy and postpartum. Nutrients 2023; 15: 2012.</w:t>
      </w:r>
    </w:p>
    <w:p>
      <w:pPr>
        <w:spacing w:after="40" w:line="276" w:lineRule="auto"/>
      </w:pPr>
      <w:r>
        <w:rPr>
          <w:rFonts w:ascii="Times New Roman" w:hAnsi="Times New Roman"/>
          <w:sz w:val="20"/>
        </w:rPr>
        <w:t>15. Ioannou C, Javaid MK, Mahon P, et al. The effect of maternal vitamin D concentration on fetal bone. J Clin Endocrinol Metab 2012; 97: E2070–7.</w:t>
      </w:r>
    </w:p>
    <w:p>
      <w:pPr>
        <w:spacing w:after="40" w:line="276" w:lineRule="auto"/>
      </w:pPr>
      <w:r>
        <w:rPr>
          <w:rFonts w:ascii="Times New Roman" w:hAnsi="Times New Roman"/>
          <w:sz w:val="20"/>
        </w:rPr>
        <w:t>16. Page MJ, McKenzie JE, Bossuyt PM, et al. The PRISMA 2020 statement: an updated guideline for reporting systematic reviews. BMJ 2021; 372: n71.</w:t>
      </w:r>
    </w:p>
    <w:p>
      <w:pPr>
        <w:spacing w:after="40" w:line="276" w:lineRule="auto"/>
      </w:pPr>
      <w:r>
        <w:rPr>
          <w:rFonts w:ascii="Times New Roman" w:hAnsi="Times New Roman"/>
          <w:sz w:val="20"/>
        </w:rPr>
        <w:t>17. McGowan J, Sampson M, Salzwedel DM, et al. PRESS peer review of electronic search strategies: 2015 guideline statement. J Clin Epidemiol 2016; 75: 40–6.</w:t>
      </w:r>
    </w:p>
    <w:p>
      <w:pPr>
        <w:spacing w:after="40" w:line="276" w:lineRule="auto"/>
      </w:pPr>
      <w:r>
        <w:rPr>
          <w:rFonts w:ascii="Times New Roman" w:hAnsi="Times New Roman"/>
          <w:sz w:val="20"/>
        </w:rPr>
        <w:t>18. Aromataris E. JBI manual for evidence synthesis. Adelaide: JBI, 2024.</w:t>
      </w:r>
    </w:p>
    <w:p>
      <w:pPr>
        <w:spacing w:after="40" w:line="276" w:lineRule="auto"/>
      </w:pPr>
      <w:r>
        <w:rPr>
          <w:rFonts w:ascii="Times New Roman" w:hAnsi="Times New Roman"/>
          <w:sz w:val="20"/>
        </w:rPr>
        <w:t>19. Wells GA, Shea B, O’Connell D, et al. The Newcastle-Ottawa Scale (NOS) for assessing the quality of nonrandomised studies in meta-analyses. Ottawa: Ottawa Hospital Research Institute, 2021.</w:t>
      </w:r>
    </w:p>
    <w:p>
      <w:pPr>
        <w:spacing w:after="40" w:line="276" w:lineRule="auto"/>
      </w:pPr>
      <w:r>
        <w:rPr>
          <w:rFonts w:ascii="Times New Roman" w:hAnsi="Times New Roman"/>
          <w:sz w:val="20"/>
        </w:rPr>
        <w:t>20. Sterne JAC, Savović J, Page MJ, et al. RoB 2: a revised tool for assessing risk of bias in randomised trials. BMJ 2019; 366: l4898.</w:t>
      </w:r>
    </w:p>
    <w:p>
      <w:pPr>
        <w:spacing w:after="40" w:line="276" w:lineRule="auto"/>
      </w:pPr>
      <w:r>
        <w:rPr>
          <w:rFonts w:ascii="Times New Roman" w:hAnsi="Times New Roman"/>
          <w:sz w:val="20"/>
        </w:rPr>
        <w:t>21. Guyatt GH, Oxman AD, Vist GE, et al. GRADE: an emerging consensus on rating quality of evidence and strength of recommendations. BMJ 2008; 336: 924–6.</w:t>
      </w:r>
    </w:p>
    <w:p>
      <w:pPr>
        <w:spacing w:after="40" w:line="276" w:lineRule="auto"/>
      </w:pPr>
      <w:r>
        <w:rPr>
          <w:rFonts w:ascii="Times New Roman" w:hAnsi="Times New Roman"/>
          <w:sz w:val="20"/>
        </w:rPr>
        <w:t>22. Santamaria C, Bi WG, Leduc L, et al. Prenatal vitamin D status and offspring’s growth, adiposity and metabolic health: a systematic review and meta-analysis. Br J Nutr 2018; 119: 310–19.</w:t>
      </w:r>
    </w:p>
    <w:p>
      <w:pPr>
        <w:spacing w:after="40" w:line="276" w:lineRule="auto"/>
      </w:pPr>
      <w:r>
        <w:rPr>
          <w:rFonts w:ascii="Times New Roman" w:hAnsi="Times New Roman"/>
          <w:sz w:val="20"/>
        </w:rPr>
        <w:t>23. Bi WG, Nuyt AM, Bhatt DL, et al. Effect of vitamin D supplementation during pregnancy on newborn and infant outcomes: a systematic review and meta-analysis. JAMA Pediatr 2018; 172: 635–45.</w:t>
      </w:r>
    </w:p>
    <w:p>
      <w:pPr>
        <w:spacing w:after="40" w:line="276" w:lineRule="auto"/>
      </w:pPr>
      <w:r>
        <w:rPr>
          <w:rFonts w:ascii="Times New Roman" w:hAnsi="Times New Roman"/>
          <w:sz w:val="20"/>
        </w:rPr>
        <w:t>24. Kovacs CS. Bone development and mineral homeostasis in the fetus and neonate: roles of the calciotropic and phosphotropic hormones. Physiol Rev 2014; 94: 1143–1218.</w:t>
      </w:r>
    </w:p>
    <w:p>
      <w:pPr>
        <w:spacing w:after="40" w:line="276" w:lineRule="auto"/>
      </w:pPr>
      <w:r>
        <w:rPr>
          <w:rFonts w:ascii="Times New Roman" w:hAnsi="Times New Roman"/>
          <w:sz w:val="20"/>
        </w:rPr>
        <w:t>25. Liu NQ, Hewison M. Vitamin D, the placenta and pregnancy. Arch Biochem Biophys 2012; 523: 37–47.</w:t>
      </w:r>
    </w:p>
    <w:p>
      <w:pPr>
        <w:spacing w:after="40" w:line="276" w:lineRule="auto"/>
      </w:pPr>
      <w:r>
        <w:rPr>
          <w:rFonts w:ascii="Times New Roman" w:hAnsi="Times New Roman"/>
          <w:sz w:val="20"/>
        </w:rPr>
        <w:t>26. Lai JKC, Lucas RM, Banks E, Ponsonby AL. Variability in vitamin D assays impairs clinical assessment of vitamin D status. Intern Med J 2012; 42: 43–50.</w:t>
      </w:r>
    </w:p>
    <w:p>
      <w:pPr>
        <w:spacing w:after="40" w:line="276" w:lineRule="auto"/>
      </w:pPr>
      <w:r>
        <w:rPr>
          <w:rFonts w:ascii="Times New Roman" w:hAnsi="Times New Roman"/>
          <w:sz w:val="20"/>
        </w:rPr>
        <w:t>27. Vafaei H, Asadi N, Kasraeian M, et al. Positive effect of low dose vitamin D supplementation on growth of fetal bones: a randomized prospective study. Bone 2019; 122: 136–42.</w:t>
      </w:r>
    </w:p>
    <w:p>
      <w:pPr>
        <w:spacing w:after="40" w:line="276" w:lineRule="auto"/>
      </w:pPr>
      <w:r>
        <w:rPr>
          <w:rFonts w:ascii="Times New Roman" w:hAnsi="Times New Roman"/>
          <w:sz w:val="20"/>
        </w:rPr>
        <w:t>28. Ikenoue S, Tamai J, Akita K, et al. Origins of obesity in the womb: fetal adiposity and its determinants. J Obstet Gynaecol Res 2024; 50: 2178–82.</w:t>
      </w:r>
    </w:p>
    <w:p>
      <w:pPr>
        <w:spacing w:after="40" w:line="276" w:lineRule="auto"/>
      </w:pPr>
      <w:r>
        <w:rPr>
          <w:rFonts w:ascii="Times New Roman" w:hAnsi="Times New Roman"/>
          <w:sz w:val="20"/>
        </w:rPr>
        <w:t>29. Vafaei H, Asadi N, Kasraeian M, et al. Positive effect of low dose vitamin D supplementation on growth of fetal bones: a randomized prospective study. Bone 2019; 122: 136–42.</w:t>
      </w:r>
    </w:p>
    <w:p>
      <w:pPr>
        <w:spacing w:after="40" w:line="276" w:lineRule="auto"/>
      </w:pPr>
      <w:r>
        <w:rPr>
          <w:rFonts w:ascii="Times New Roman" w:hAnsi="Times New Roman"/>
          <w:sz w:val="20"/>
        </w:rPr>
        <w:t>30. Srilekha V, Vijayalakshmi B, Reddy IY, Fathima N. Effect of vitamin D supplementation on fetal growth and development in pregnant women. Biomedicine 2021; 41: 821–4.</w:t>
      </w:r>
    </w:p>
    <w:p>
      <w:pPr>
        <w:spacing w:after="40" w:line="276" w:lineRule="auto"/>
      </w:pPr>
      <w:r>
        <w:rPr>
          <w:rFonts w:ascii="Times New Roman" w:hAnsi="Times New Roman"/>
          <w:sz w:val="20"/>
        </w:rPr>
        <w:t>31. Young BE, McNanley TJ, Cooper EM, et al. Maternal vitamin D status and calcium intake interact to affect fetal skeletal growth in utero in pregnant adolescents. Am J Clin Nutr 2012; 95: 1103–12.</w:t>
      </w:r>
    </w:p>
    <w:p>
      <w:pPr>
        <w:spacing w:after="40" w:line="276" w:lineRule="auto"/>
      </w:pPr>
      <w:r>
        <w:rPr>
          <w:rFonts w:ascii="Times New Roman" w:hAnsi="Times New Roman"/>
          <w:sz w:val="20"/>
        </w:rPr>
        <w:t>32. Lee DH, Ryu HM, Han YJ, et al. Effects of serum 25-hydroxy-vitamin D and fetal bone growth during pregnancy. J Bone Metab 2015; 22: 127–33.</w:t>
      </w:r>
    </w:p>
    <w:p>
      <w:pPr>
        <w:spacing w:after="40" w:line="276" w:lineRule="auto"/>
      </w:pPr>
      <w:r>
        <w:rPr>
          <w:rFonts w:ascii="Times New Roman" w:hAnsi="Times New Roman"/>
          <w:sz w:val="20"/>
        </w:rPr>
        <w:t>33. Lee SB, Jung SH, Lee H, et al. Maternal vitamin D deficiency in early pregnancy and perinatal and long-term outcomes. Heliyon 2023; 9: e19367.</w:t>
      </w:r>
    </w:p>
    <w:p>
      <w:pPr>
        <w:spacing w:after="40" w:line="276" w:lineRule="auto"/>
      </w:pPr>
      <w:r>
        <w:rPr>
          <w:rFonts w:ascii="Times New Roman" w:hAnsi="Times New Roman"/>
          <w:sz w:val="20"/>
        </w:rPr>
        <w:t>34. Akita K, Ikenoue S, Tamai J, et al. Maternal serum 25-hydroxyvitamin D as a possible modulator of fetal adiposity. Int J Mol Sci 2025; 26: 1234.</w:t>
      </w:r>
    </w:p>
    <w:p>
      <w:pPr>
        <w:spacing w:after="40" w:line="276" w:lineRule="auto"/>
      </w:pPr>
      <w:r>
        <w:rPr>
          <w:rFonts w:ascii="Times New Roman" w:hAnsi="Times New Roman"/>
          <w:sz w:val="20"/>
        </w:rPr>
        <w:t>35. Ge LP, Pan J, Liang M. Correlation analysis of maternal serum folate and 25(OH)D levels with the incidence of fetal growth restriction in patients with preeclampsia. J Matern Fetal Neonatal Med 2024; 37: 2400688.</w:t>
      </w:r>
    </w:p>
    <w:p>
      <w:pPr>
        <w:spacing w:after="40" w:line="276" w:lineRule="auto"/>
      </w:pPr>
      <w:r>
        <w:rPr>
          <w:rFonts w:ascii="Times New Roman" w:hAnsi="Times New Roman"/>
          <w:sz w:val="20"/>
        </w:rPr>
        <w:t>36. Alimohammadi S, Esna-Ashari F, Beheshti Rooy RS. Relationship of vitamin D serum level with intrauterine growth retardation in pregnant women. Int J Womens Health Reprod Sci 2020; 8: 221–6.</w:t>
      </w:r>
    </w:p>
    <w:p>
      <w:pPr>
        <w:spacing w:after="40" w:line="276" w:lineRule="auto"/>
      </w:pPr>
      <w:r>
        <w:rPr>
          <w:rFonts w:ascii="Times New Roman" w:hAnsi="Times New Roman"/>
          <w:sz w:val="20"/>
        </w:rPr>
        <w:t>37. Judistiani RTD, Madjid TH, Irianti S, et al. Association of first trimester maternal vitamin D, ferritin and hemoglobin level with third trimester fetal biometry. BMC Pregnancy Childbirth 2019; 19: 112.</w:t>
      </w:r>
    </w:p>
    <w:p>
      <w:pPr>
        <w:spacing w:after="40" w:line="276" w:lineRule="auto"/>
      </w:pPr>
      <w:r>
        <w:rPr>
          <w:rFonts w:ascii="Times New Roman" w:hAnsi="Times New Roman"/>
          <w:sz w:val="20"/>
        </w:rPr>
        <w:t>38. Kwon KW, Lee YH, Yeo MH, et al. Maternal and fetal effects of gestational vitamin D concentration. Healthcare 2023; 11: 2325.</w:t>
      </w:r>
    </w:p>
    <w:p>
      <w:pPr>
        <w:spacing w:after="40" w:line="276" w:lineRule="auto"/>
      </w:pPr>
      <w:r>
        <w:rPr>
          <w:rFonts w:ascii="Times New Roman" w:hAnsi="Times New Roman"/>
          <w:sz w:val="20"/>
        </w:rPr>
        <w:t>39. Mahfod HS, El Behery MM, Zaitoun MM, El-sayed HS. The relation between vitamin D deficiency and fetal growth restriction in pregnant women. Egypt J Hosp Med 2022; 89: 6167–73.</w:t>
      </w:r>
    </w:p>
    <w:p>
      <w:pPr>
        <w:spacing w:after="40" w:line="276" w:lineRule="auto"/>
      </w:pPr>
      <w:r>
        <w:rPr>
          <w:rFonts w:ascii="Times New Roman" w:hAnsi="Times New Roman"/>
          <w:sz w:val="20"/>
        </w:rPr>
        <w:t>40. Fernández-Alonso AM, Fiol-Ruiz G, Chedraui P, Pérez-López FR. Lack of correlation between first trimester maternal serum 25-hydroxyvitamin D levels and ultrasound measured crown-rump length and nuchal translucency. Arch Gynecol Obstet 2011; 283: 13–18.</w:t>
      </w:r>
    </w:p>
    <w:p>
      <w:pPr>
        <w:spacing w:after="40" w:line="276" w:lineRule="auto"/>
      </w:pPr>
      <w:r>
        <w:rPr>
          <w:rFonts w:ascii="Times New Roman" w:hAnsi="Times New Roman"/>
          <w:sz w:val="20"/>
        </w:rPr>
        <w:t>41. Vestergaard AL, Justesen S, Volqvartz T, et al. Vitamin D insufficiency among Danish pregnant women—prevalence and association with adverse obstetric outcomes. Acta Obstet Gynecol Scand 2021; 100: 2144–51.</w:t>
      </w:r>
    </w:p>
    <w:p>
      <w:r>
        <w:br w:type="page"/>
      </w:r>
    </w:p>
    <w:p>
      <w:pPr>
        <w:pStyle w:val="Heading1"/>
      </w:pPr>
      <w:r>
        <w:rPr>
          <w:rFonts w:ascii="Times New Roman" w:hAnsi="Times New Roman"/>
          <w:color w:val="1A2E4A"/>
        </w:rPr>
        <w:t>Figure Legends</w:t>
      </w:r>
    </w:p>
    <w:p>
      <w:r>
        <w:rPr>
          <w:rFonts w:ascii="Times New Roman" w:hAnsi="Times New Roman"/>
          <w:b/>
          <w:i w:val="0"/>
          <w:sz w:val="24"/>
        </w:rPr>
        <w:t>Figure 1.</w:t>
      </w:r>
      <w:r>
        <w:rPr>
          <w:rFonts w:ascii="Times New Roman" w:hAnsi="Times New Roman"/>
          <w:b w:val="0"/>
          <w:i w:val="0"/>
          <w:sz w:val="24"/>
        </w:rPr>
        <w:t xml:space="preserve"> PRISMA 2020 flow diagram of study identification, screening, and inclusion.</w:t>
      </w:r>
    </w:p>
    <w:p>
      <w:r>
        <w:rPr>
          <w:rFonts w:ascii="Times New Roman" w:hAnsi="Times New Roman"/>
          <w:b/>
          <w:i w:val="0"/>
          <w:sz w:val="24"/>
        </w:rPr>
        <w:t>Figure 2.</w:t>
      </w:r>
      <w:r>
        <w:rPr>
          <w:rFonts w:ascii="Times New Roman" w:hAnsi="Times New Roman"/>
          <w:b w:val="0"/>
          <w:i w:val="0"/>
          <w:sz w:val="24"/>
        </w:rPr>
        <w:t xml:space="preserve"> Forest plot: maternal vitamin D deficiency and SGA/FGR risk (k = 4; N = 9,033). Fixed-effects; OR = 1·95 [95% CI 1·47–2·59]; I² = 0%.</w:t>
      </w:r>
    </w:p>
    <w:p>
      <w:r>
        <w:rPr>
          <w:rFonts w:ascii="Times New Roman" w:hAnsi="Times New Roman"/>
          <w:b/>
          <w:i w:val="0"/>
          <w:sz w:val="24"/>
        </w:rPr>
        <w:t>Figure 3.</w:t>
      </w:r>
      <w:r>
        <w:rPr>
          <w:rFonts w:ascii="Times New Roman" w:hAnsi="Times New Roman"/>
          <w:b w:val="0"/>
          <w:i w:val="0"/>
          <w:sz w:val="24"/>
        </w:rPr>
        <w:t xml:space="preserve"> Forest plot: maternal vitamin D deficiency and fetal biometry/EFW (k = 4; N = 26,542). Fixed-effects; OR = 1·16 [1·09–1·23]; I² = 33%.</w:t>
      </w:r>
    </w:p>
    <w:p>
      <w:r>
        <w:rPr>
          <w:rFonts w:ascii="Times New Roman" w:hAnsi="Times New Roman"/>
          <w:b/>
          <w:i w:val="0"/>
          <w:sz w:val="24"/>
        </w:rPr>
        <w:t>Figure 4.</w:t>
      </w:r>
      <w:r>
        <w:rPr>
          <w:rFonts w:ascii="Times New Roman" w:hAnsi="Times New Roman"/>
          <w:b w:val="0"/>
          <w:i w:val="0"/>
          <w:sz w:val="24"/>
        </w:rPr>
        <w:t xml:space="preserve"> Forest plot: RCT continuous outcomes (mean difference). Green = Vafaei 2019 (low RoB); blue = Srilekha 2021 (high RoB).</w:t>
      </w:r>
    </w:p>
    <w:p>
      <w:r>
        <w:rPr>
          <w:rFonts w:ascii="Times New Roman" w:hAnsi="Times New Roman"/>
          <w:b/>
          <w:i w:val="0"/>
          <w:sz w:val="24"/>
        </w:rPr>
        <w:t>Figure 5.</w:t>
      </w:r>
      <w:r>
        <w:rPr>
          <w:rFonts w:ascii="Times New Roman" w:hAnsi="Times New Roman"/>
          <w:b w:val="0"/>
          <w:i w:val="0"/>
          <w:sz w:val="24"/>
        </w:rPr>
        <w:t xml:space="preserve"> GRADE evidence profile: certainty of evidence by primary outcome.</w:t>
      </w:r>
    </w:p>
    <w:p/>
    <w:p>
      <w:pPr>
        <w:pStyle w:val="Heading2"/>
      </w:pPr>
      <w:r>
        <w:rPr>
          <w:rFonts w:ascii="Times New Roman" w:hAnsi="Times New Roman"/>
          <w:color w:val="1A2E4A"/>
        </w:rPr>
        <w:t>Supplementary Figure Legends</w:t>
      </w:r>
    </w:p>
    <w:p>
      <w:r>
        <w:rPr>
          <w:rFonts w:ascii="Times New Roman" w:hAnsi="Times New Roman"/>
          <w:b/>
          <w:i w:val="0"/>
          <w:sz w:val="24"/>
        </w:rPr>
        <w:t>Figure S1.</w:t>
      </w:r>
      <w:r>
        <w:rPr>
          <w:rFonts w:ascii="Times New Roman" w:hAnsi="Times New Roman"/>
          <w:b w:val="0"/>
          <w:i w:val="0"/>
          <w:sz w:val="24"/>
        </w:rPr>
        <w:t xml:space="preserve"> Study characteristics: (a) design, (b) timeline, (c) geographic distribution, (d) quality.</w:t>
      </w:r>
    </w:p>
    <w:p>
      <w:r>
        <w:rPr>
          <w:rFonts w:ascii="Times New Roman" w:hAnsi="Times New Roman"/>
          <w:b/>
          <w:i w:val="0"/>
          <w:sz w:val="24"/>
        </w:rPr>
        <w:t>Figure S2.</w:t>
      </w:r>
      <w:r>
        <w:rPr>
          <w:rFonts w:ascii="Times New Roman" w:hAnsi="Times New Roman"/>
          <w:b w:val="0"/>
          <w:i w:val="0"/>
          <w:sz w:val="24"/>
        </w:rPr>
        <w:t xml:space="preserve"> Laboratory methods for 25(OH)D and maternal concentrations by continent.</w:t>
      </w:r>
    </w:p>
    <w:p>
      <w:r>
        <w:rPr>
          <w:rFonts w:ascii="Times New Roman" w:hAnsi="Times New Roman"/>
          <w:b/>
          <w:i w:val="0"/>
          <w:sz w:val="24"/>
        </w:rPr>
        <w:t>Figure S3.</w:t>
      </w:r>
      <w:r>
        <w:rPr>
          <w:rFonts w:ascii="Times New Roman" w:hAnsi="Times New Roman"/>
          <w:b w:val="0"/>
          <w:i w:val="0"/>
          <w:sz w:val="24"/>
        </w:rPr>
        <w:t xml:space="preserve"> JBI Critical Appraisal heatmap and Newcastle–Ottawa Scale scores.</w:t>
      </w:r>
    </w:p>
    <w:p>
      <w:r>
        <w:rPr>
          <w:rFonts w:ascii="Times New Roman" w:hAnsi="Times New Roman"/>
          <w:b/>
          <w:i w:val="0"/>
          <w:sz w:val="24"/>
        </w:rPr>
        <w:t>Figure S4.</w:t>
      </w:r>
      <w:r>
        <w:rPr>
          <w:rFonts w:ascii="Times New Roman" w:hAnsi="Times New Roman"/>
          <w:b w:val="0"/>
          <w:i w:val="0"/>
          <w:sz w:val="24"/>
        </w:rPr>
        <w:t xml:space="preserve"> Leave-one-out sensitivity analysis for SGA/FGR.</w:t>
      </w:r>
    </w:p>
    <w:p>
      <w:r>
        <w:rPr>
          <w:rFonts w:ascii="Times New Roman" w:hAnsi="Times New Roman"/>
          <w:b/>
          <w:i w:val="0"/>
          <w:sz w:val="24"/>
        </w:rPr>
        <w:t>Figure S5.</w:t>
      </w:r>
      <w:r>
        <w:rPr>
          <w:rFonts w:ascii="Times New Roman" w:hAnsi="Times New Roman"/>
          <w:b w:val="0"/>
          <w:i w:val="0"/>
          <w:sz w:val="24"/>
        </w:rPr>
        <w:t xml:space="preserve"> Subgroup forest plot by vitamin D deficiency threshold.</w:t>
      </w:r>
    </w:p>
    <w:p>
      <w:r>
        <w:rPr>
          <w:rFonts w:ascii="Times New Roman" w:hAnsi="Times New Roman"/>
          <w:b/>
          <w:i w:val="0"/>
          <w:sz w:val="24"/>
        </w:rPr>
        <w:t>Figure S6.</w:t>
      </w:r>
      <w:r>
        <w:rPr>
          <w:rFonts w:ascii="Times New Roman" w:hAnsi="Times New Roman"/>
          <w:b w:val="0"/>
          <w:i w:val="0"/>
          <w:sz w:val="24"/>
        </w:rPr>
        <w:t xml:space="preserve"> Funnel plot with Duval &amp; Tweedie trim-and-fill analysis.</w:t>
      </w:r>
    </w:p>
    <w:p>
      <w:r>
        <w:rPr>
          <w:rFonts w:ascii="Times New Roman" w:hAnsi="Times New Roman"/>
          <w:b/>
          <w:i w:val="0"/>
          <w:sz w:val="24"/>
        </w:rPr>
        <w:t>Figure S7.</w:t>
      </w:r>
      <w:r>
        <w:rPr>
          <w:rFonts w:ascii="Times New Roman" w:hAnsi="Times New Roman"/>
          <w:b w:val="0"/>
          <w:i w:val="0"/>
          <w:sz w:val="24"/>
        </w:rPr>
        <w:t xml:space="preserve"> Bubble plot: mean maternal 25(OH)D vs sample size.</w:t>
      </w:r>
    </w:p>
    <w:p>
      <w:r>
        <w:rPr>
          <w:rFonts w:ascii="Times New Roman" w:hAnsi="Times New Roman"/>
          <w:b/>
          <w:i w:val="0"/>
          <w:sz w:val="24"/>
        </w:rPr>
        <w:t>Figure S8.</w:t>
      </w:r>
      <w:r>
        <w:rPr>
          <w:rFonts w:ascii="Times New Roman" w:hAnsi="Times New Roman"/>
          <w:b w:val="0"/>
          <w:i w:val="0"/>
          <w:sz w:val="24"/>
        </w:rPr>
        <w:t xml:space="preserve"> Narrative synthesis heatmap (association direction and quality).</w:t>
      </w:r>
    </w:p>
    <w:p>
      <w:r>
        <w:rPr>
          <w:rFonts w:ascii="Times New Roman" w:hAnsi="Times New Roman"/>
          <w:b/>
          <w:i w:val="0"/>
          <w:sz w:val="24"/>
        </w:rPr>
        <w:t>Figure S9.</w:t>
      </w:r>
      <w:r>
        <w:rPr>
          <w:rFonts w:ascii="Times New Roman" w:hAnsi="Times New Roman"/>
          <w:b w:val="0"/>
          <w:i w:val="0"/>
          <w:sz w:val="24"/>
        </w:rPr>
        <w:t xml:space="preserve"> Outcome categories and vitamin D deficiency threshold distribution.</w:t>
      </w:r>
    </w:p>
    <w:p>
      <w:r>
        <w:br w:type="page"/>
      </w:r>
    </w:p>
    <w:p>
      <w:pPr>
        <w:pStyle w:val="Heading1"/>
      </w:pPr>
      <w:r>
        <w:rPr>
          <w:rFonts w:ascii="Times New Roman" w:hAnsi="Times New Roman"/>
          <w:color w:val="1A2E4A"/>
        </w:rPr>
        <w:t>Supplementary Material</w:t>
      </w:r>
    </w:p>
    <w:p>
      <w:pPr>
        <w:spacing w:before="240" w:after="120"/>
      </w:pPr>
      <w:r>
        <w:rPr>
          <w:rFonts w:ascii="Times New Roman" w:hAnsi="Times New Roman"/>
          <w:b/>
          <w:i w:val="0"/>
          <w:sz w:val="22"/>
        </w:rPr>
        <w:t xml:space="preserve">Table S1. </w:t>
      </w:r>
      <w:r>
        <w:rPr>
          <w:rFonts w:ascii="Times New Roman" w:hAnsi="Times New Roman"/>
          <w:b w:val="0"/>
          <w:i/>
          <w:sz w:val="22"/>
        </w:rPr>
        <w:t>Duval &amp; Tweedie trim-and-fill analysis. k imputed = number of studies added to achieve funnel symmetry.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2E4A"/>
          </w:tcPr>
          <w:p>
            <w:r/>
            <w:r>
              <w:rPr>
                <w:rFonts w:ascii="Times New Roman" w:hAnsi="Times New Roman"/>
                <w:b/>
                <w:color w:val="FFFFFF"/>
                <w:sz w:val="20"/>
              </w:rPr>
              <w:t>Analysis</w:t>
            </w:r>
          </w:p>
        </w:tc>
        <w:tc>
          <w:tcPr>
            <w:tcW w:type="dxa" w:w="1560"/>
            <w:shd w:val="clear" w:color="auto" w:fill="1A2E4A"/>
          </w:tcPr>
          <w:p>
            <w:r/>
            <w:r>
              <w:rPr>
                <w:rFonts w:ascii="Times New Roman" w:hAnsi="Times New Roman"/>
                <w:b/>
                <w:color w:val="FFFFFF"/>
                <w:sz w:val="20"/>
              </w:rPr>
              <w:t>k</w:t>
            </w:r>
          </w:p>
        </w:tc>
        <w:tc>
          <w:tcPr>
            <w:tcW w:type="dxa" w:w="1560"/>
            <w:shd w:val="clear" w:color="auto" w:fill="1A2E4A"/>
          </w:tcPr>
          <w:p>
            <w:r/>
            <w:r>
              <w:rPr>
                <w:rFonts w:ascii="Times New Roman" w:hAnsi="Times New Roman"/>
                <w:b/>
                <w:color w:val="FFFFFF"/>
                <w:sz w:val="20"/>
              </w:rPr>
              <w:t>k imputed</w:t>
            </w:r>
          </w:p>
        </w:tc>
        <w:tc>
          <w:tcPr>
            <w:tcW w:type="dxa" w:w="1560"/>
            <w:shd w:val="clear" w:color="auto" w:fill="1A2E4A"/>
          </w:tcPr>
          <w:p>
            <w:r/>
            <w:r>
              <w:rPr>
                <w:rFonts w:ascii="Times New Roman" w:hAnsi="Times New Roman"/>
                <w:b/>
                <w:color w:val="FFFFFF"/>
                <w:sz w:val="20"/>
              </w:rPr>
              <w:t>OR</w:t>
            </w:r>
          </w:p>
        </w:tc>
        <w:tc>
          <w:tcPr>
            <w:tcW w:type="dxa" w:w="1560"/>
            <w:shd w:val="clear" w:color="auto" w:fill="1A2E4A"/>
          </w:tcPr>
          <w:p>
            <w:r/>
            <w:r>
              <w:rPr>
                <w:rFonts w:ascii="Times New Roman" w:hAnsi="Times New Roman"/>
                <w:b/>
                <w:color w:val="FFFFFF"/>
                <w:sz w:val="20"/>
              </w:rPr>
              <w:t>95% CI lower</w:t>
            </w:r>
          </w:p>
        </w:tc>
        <w:tc>
          <w:tcPr>
            <w:tcW w:type="dxa" w:w="1560"/>
            <w:shd w:val="clear" w:color="auto" w:fill="1A2E4A"/>
          </w:tcPr>
          <w:p>
            <w:r/>
            <w:r>
              <w:rPr>
                <w:rFonts w:ascii="Times New Roman" w:hAnsi="Times New Roman"/>
                <w:b/>
                <w:color w:val="FFFFFF"/>
                <w:sz w:val="20"/>
              </w:rPr>
              <w:t>95% CI upper</w:t>
            </w:r>
          </w:p>
        </w:tc>
      </w:tr>
      <w:tr>
        <w:tc>
          <w:tcPr>
            <w:tcW w:type="dxa" w:w="1560"/>
          </w:tcPr>
          <w:p>
            <w:r/>
            <w:r>
              <w:rPr>
                <w:rFonts w:ascii="Times New Roman" w:hAnsi="Times New Roman"/>
                <w:color w:val="111111"/>
                <w:sz w:val="20"/>
              </w:rPr>
              <w:t>SGA/FGR</w:t>
            </w:r>
          </w:p>
        </w:tc>
        <w:tc>
          <w:tcPr>
            <w:tcW w:type="dxa" w:w="1560"/>
          </w:tcPr>
          <w:p>
            <w:r/>
            <w:r>
              <w:rPr>
                <w:rFonts w:ascii="Times New Roman" w:hAnsi="Times New Roman"/>
                <w:color w:val="111111"/>
                <w:sz w:val="20"/>
              </w:rPr>
              <w:t>4</w:t>
            </w:r>
          </w:p>
        </w:tc>
        <w:tc>
          <w:tcPr>
            <w:tcW w:type="dxa" w:w="1560"/>
          </w:tcPr>
          <w:p>
            <w:r/>
            <w:r>
              <w:rPr>
                <w:rFonts w:ascii="Times New Roman" w:hAnsi="Times New Roman"/>
                <w:color w:val="111111"/>
                <w:sz w:val="20"/>
              </w:rPr>
              <w:t>0</w:t>
            </w:r>
          </w:p>
        </w:tc>
        <w:tc>
          <w:tcPr>
            <w:tcW w:type="dxa" w:w="1560"/>
          </w:tcPr>
          <w:p>
            <w:r/>
            <w:r>
              <w:rPr>
                <w:rFonts w:ascii="Times New Roman" w:hAnsi="Times New Roman"/>
                <w:color w:val="111111"/>
                <w:sz w:val="20"/>
              </w:rPr>
              <w:t>1.95</w:t>
            </w:r>
          </w:p>
        </w:tc>
        <w:tc>
          <w:tcPr>
            <w:tcW w:type="dxa" w:w="1560"/>
          </w:tcPr>
          <w:p>
            <w:r/>
            <w:r>
              <w:rPr>
                <w:rFonts w:ascii="Times New Roman" w:hAnsi="Times New Roman"/>
                <w:color w:val="111111"/>
                <w:sz w:val="20"/>
              </w:rPr>
              <w:t>1.47</w:t>
            </w:r>
          </w:p>
        </w:tc>
        <w:tc>
          <w:tcPr>
            <w:tcW w:type="dxa" w:w="1560"/>
          </w:tcPr>
          <w:p>
            <w:r/>
            <w:r>
              <w:rPr>
                <w:rFonts w:ascii="Times New Roman" w:hAnsi="Times New Roman"/>
                <w:color w:val="111111"/>
                <w:sz w:val="20"/>
              </w:rPr>
              <w:t>2.59</w:t>
            </w:r>
          </w:p>
        </w:tc>
      </w:tr>
      <w:tr>
        <w:tc>
          <w:tcPr>
            <w:tcW w:type="dxa" w:w="1560"/>
            <w:shd w:val="clear" w:color="auto" w:fill="F5F6F8"/>
          </w:tcPr>
          <w:p>
            <w:r/>
            <w:r>
              <w:rPr>
                <w:rFonts w:ascii="Times New Roman" w:hAnsi="Times New Roman"/>
                <w:color w:val="111111"/>
                <w:sz w:val="20"/>
              </w:rPr>
              <w:t>SGA/FGR (trim-and-fill)</w:t>
            </w:r>
          </w:p>
        </w:tc>
        <w:tc>
          <w:tcPr>
            <w:tcW w:type="dxa" w:w="1560"/>
            <w:shd w:val="clear" w:color="auto" w:fill="F5F6F8"/>
          </w:tcPr>
          <w:p>
            <w:r/>
            <w:r>
              <w:rPr>
                <w:rFonts w:ascii="Times New Roman" w:hAnsi="Times New Roman"/>
                <w:color w:val="111111"/>
                <w:sz w:val="20"/>
              </w:rPr>
              <w:t>5</w:t>
            </w:r>
          </w:p>
        </w:tc>
        <w:tc>
          <w:tcPr>
            <w:tcW w:type="dxa" w:w="1560"/>
            <w:shd w:val="clear" w:color="auto" w:fill="F5F6F8"/>
          </w:tcPr>
          <w:p>
            <w:r/>
            <w:r>
              <w:rPr>
                <w:rFonts w:ascii="Times New Roman" w:hAnsi="Times New Roman"/>
                <w:color w:val="111111"/>
                <w:sz w:val="20"/>
              </w:rPr>
              <w:t>1</w:t>
            </w:r>
          </w:p>
        </w:tc>
        <w:tc>
          <w:tcPr>
            <w:tcW w:type="dxa" w:w="1560"/>
            <w:shd w:val="clear" w:color="auto" w:fill="F5F6F8"/>
          </w:tcPr>
          <w:p>
            <w:r/>
            <w:r>
              <w:rPr>
                <w:rFonts w:ascii="Times New Roman" w:hAnsi="Times New Roman"/>
                <w:color w:val="111111"/>
                <w:sz w:val="20"/>
              </w:rPr>
              <w:t>2.00</w:t>
            </w:r>
          </w:p>
        </w:tc>
        <w:tc>
          <w:tcPr>
            <w:tcW w:type="dxa" w:w="1560"/>
            <w:shd w:val="clear" w:color="auto" w:fill="F5F6F8"/>
          </w:tcPr>
          <w:p>
            <w:r/>
            <w:r>
              <w:rPr>
                <w:rFonts w:ascii="Times New Roman" w:hAnsi="Times New Roman"/>
                <w:color w:val="111111"/>
                <w:sz w:val="20"/>
              </w:rPr>
              <w:t>1.52</w:t>
            </w:r>
          </w:p>
        </w:tc>
        <w:tc>
          <w:tcPr>
            <w:tcW w:type="dxa" w:w="1560"/>
            <w:shd w:val="clear" w:color="auto" w:fill="F5F6F8"/>
          </w:tcPr>
          <w:p>
            <w:r/>
            <w:r>
              <w:rPr>
                <w:rFonts w:ascii="Times New Roman" w:hAnsi="Times New Roman"/>
                <w:color w:val="111111"/>
                <w:sz w:val="20"/>
              </w:rPr>
              <w:t>2.63</w:t>
            </w:r>
          </w:p>
        </w:tc>
      </w:tr>
      <w:tr>
        <w:tc>
          <w:tcPr>
            <w:tcW w:type="dxa" w:w="1560"/>
          </w:tcPr>
          <w:p>
            <w:r/>
            <w:r>
              <w:rPr>
                <w:rFonts w:ascii="Times New Roman" w:hAnsi="Times New Roman"/>
                <w:color w:val="111111"/>
                <w:sz w:val="20"/>
              </w:rPr>
              <w:t>Biometry/EFW</w:t>
            </w:r>
          </w:p>
        </w:tc>
        <w:tc>
          <w:tcPr>
            <w:tcW w:type="dxa" w:w="1560"/>
          </w:tcPr>
          <w:p>
            <w:r/>
            <w:r>
              <w:rPr>
                <w:rFonts w:ascii="Times New Roman" w:hAnsi="Times New Roman"/>
                <w:color w:val="111111"/>
                <w:sz w:val="20"/>
              </w:rPr>
              <w:t>4</w:t>
            </w:r>
          </w:p>
        </w:tc>
        <w:tc>
          <w:tcPr>
            <w:tcW w:type="dxa" w:w="1560"/>
          </w:tcPr>
          <w:p>
            <w:r/>
            <w:r>
              <w:rPr>
                <w:rFonts w:ascii="Times New Roman" w:hAnsi="Times New Roman"/>
                <w:color w:val="111111"/>
                <w:sz w:val="20"/>
              </w:rPr>
              <w:t>0</w:t>
            </w:r>
          </w:p>
        </w:tc>
        <w:tc>
          <w:tcPr>
            <w:tcW w:type="dxa" w:w="1560"/>
          </w:tcPr>
          <w:p>
            <w:r/>
            <w:r>
              <w:rPr>
                <w:rFonts w:ascii="Times New Roman" w:hAnsi="Times New Roman"/>
                <w:color w:val="111111"/>
                <w:sz w:val="20"/>
              </w:rPr>
              <w:t>1.16</w:t>
            </w:r>
          </w:p>
        </w:tc>
        <w:tc>
          <w:tcPr>
            <w:tcW w:type="dxa" w:w="1560"/>
          </w:tcPr>
          <w:p>
            <w:r/>
            <w:r>
              <w:rPr>
                <w:rFonts w:ascii="Times New Roman" w:hAnsi="Times New Roman"/>
                <w:color w:val="111111"/>
                <w:sz w:val="20"/>
              </w:rPr>
              <w:t>1.09</w:t>
            </w:r>
          </w:p>
        </w:tc>
        <w:tc>
          <w:tcPr>
            <w:tcW w:type="dxa" w:w="1560"/>
          </w:tcPr>
          <w:p>
            <w:r/>
            <w:r>
              <w:rPr>
                <w:rFonts w:ascii="Times New Roman" w:hAnsi="Times New Roman"/>
                <w:color w:val="111111"/>
                <w:sz w:val="20"/>
              </w:rPr>
              <w:t>1.23</w:t>
            </w:r>
          </w:p>
        </w:tc>
      </w:tr>
      <w:tr>
        <w:tc>
          <w:tcPr>
            <w:tcW w:type="dxa" w:w="1560"/>
            <w:shd w:val="clear" w:color="auto" w:fill="F5F6F8"/>
          </w:tcPr>
          <w:p>
            <w:r/>
            <w:r>
              <w:rPr>
                <w:rFonts w:ascii="Times New Roman" w:hAnsi="Times New Roman"/>
                <w:color w:val="111111"/>
                <w:sz w:val="20"/>
              </w:rPr>
              <w:t>Biometry/EFW (trim-and-fill)</w:t>
            </w:r>
          </w:p>
        </w:tc>
        <w:tc>
          <w:tcPr>
            <w:tcW w:type="dxa" w:w="1560"/>
            <w:shd w:val="clear" w:color="auto" w:fill="F5F6F8"/>
          </w:tcPr>
          <w:p>
            <w:r/>
            <w:r>
              <w:rPr>
                <w:rFonts w:ascii="Times New Roman" w:hAnsi="Times New Roman"/>
                <w:color w:val="111111"/>
                <w:sz w:val="20"/>
              </w:rPr>
              <w:t>6</w:t>
            </w:r>
          </w:p>
        </w:tc>
        <w:tc>
          <w:tcPr>
            <w:tcW w:type="dxa" w:w="1560"/>
            <w:shd w:val="clear" w:color="auto" w:fill="F5F6F8"/>
          </w:tcPr>
          <w:p>
            <w:r/>
            <w:r>
              <w:rPr>
                <w:rFonts w:ascii="Times New Roman" w:hAnsi="Times New Roman"/>
                <w:color w:val="111111"/>
                <w:sz w:val="20"/>
              </w:rPr>
              <w:t>2</w:t>
            </w:r>
          </w:p>
        </w:tc>
        <w:tc>
          <w:tcPr>
            <w:tcW w:type="dxa" w:w="1560"/>
            <w:shd w:val="clear" w:color="auto" w:fill="F5F6F8"/>
          </w:tcPr>
          <w:p>
            <w:r/>
            <w:r>
              <w:rPr>
                <w:rFonts w:ascii="Times New Roman" w:hAnsi="Times New Roman"/>
                <w:color w:val="111111"/>
                <w:sz w:val="20"/>
              </w:rPr>
              <w:t>1.12</w:t>
            </w:r>
          </w:p>
        </w:tc>
        <w:tc>
          <w:tcPr>
            <w:tcW w:type="dxa" w:w="1560"/>
            <w:shd w:val="clear" w:color="auto" w:fill="F5F6F8"/>
          </w:tcPr>
          <w:p>
            <w:r/>
            <w:r>
              <w:rPr>
                <w:rFonts w:ascii="Times New Roman" w:hAnsi="Times New Roman"/>
                <w:color w:val="111111"/>
                <w:sz w:val="20"/>
              </w:rPr>
              <w:t>1.06</w:t>
            </w:r>
          </w:p>
        </w:tc>
        <w:tc>
          <w:tcPr>
            <w:tcW w:type="dxa" w:w="1560"/>
            <w:shd w:val="clear" w:color="auto" w:fill="F5F6F8"/>
          </w:tcPr>
          <w:p>
            <w:r/>
            <w:r>
              <w:rPr>
                <w:rFonts w:ascii="Times New Roman" w:hAnsi="Times New Roman"/>
                <w:color w:val="111111"/>
                <w:sz w:val="20"/>
              </w:rPr>
              <w:t>1.18</w:t>
            </w:r>
          </w:p>
        </w:tc>
      </w:tr>
    </w:tbl>
    <w:p/>
    <w:p>
      <w:pPr>
        <w:spacing w:before="240" w:after="120"/>
      </w:pPr>
      <w:r>
        <w:rPr>
          <w:rFonts w:ascii="Times New Roman" w:hAnsi="Times New Roman"/>
          <w:b/>
          <w:i w:val="0"/>
          <w:sz w:val="22"/>
        </w:rPr>
        <w:t xml:space="preserve">Table S2. </w:t>
      </w:r>
      <w:r>
        <w:rPr>
          <w:rFonts w:ascii="Times New Roman" w:hAnsi="Times New Roman"/>
          <w:b w:val="0"/>
          <w:i/>
          <w:sz w:val="22"/>
        </w:rPr>
        <w:t>Leave-one-out sensitivity analysis for SGA/FGR meta-analysis. All estimates remain statistically significant after sequential exclusion of each study.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E4A"/>
          </w:tcPr>
          <w:p>
            <w:r/>
            <w:r>
              <w:rPr>
                <w:rFonts w:ascii="Times New Roman" w:hAnsi="Times New Roman"/>
                <w:b/>
                <w:color w:val="FFFFFF"/>
                <w:sz w:val="20"/>
              </w:rPr>
              <w:t>Study excluded</w:t>
            </w:r>
          </w:p>
        </w:tc>
        <w:tc>
          <w:tcPr>
            <w:tcW w:type="dxa" w:w="2340"/>
            <w:shd w:val="clear" w:color="auto" w:fill="1A2E4A"/>
          </w:tcPr>
          <w:p>
            <w:r/>
            <w:r>
              <w:rPr>
                <w:rFonts w:ascii="Times New Roman" w:hAnsi="Times New Roman"/>
                <w:b/>
                <w:color w:val="FFFFFF"/>
                <w:sz w:val="20"/>
              </w:rPr>
              <w:t>Pooled OR</w:t>
            </w:r>
          </w:p>
        </w:tc>
        <w:tc>
          <w:tcPr>
            <w:tcW w:type="dxa" w:w="2340"/>
            <w:shd w:val="clear" w:color="auto" w:fill="1A2E4A"/>
          </w:tcPr>
          <w:p>
            <w:r/>
            <w:r>
              <w:rPr>
                <w:rFonts w:ascii="Times New Roman" w:hAnsi="Times New Roman"/>
                <w:b/>
                <w:color w:val="FFFFFF"/>
                <w:sz w:val="20"/>
              </w:rPr>
              <w:t>95% CI lower</w:t>
            </w:r>
          </w:p>
        </w:tc>
        <w:tc>
          <w:tcPr>
            <w:tcW w:type="dxa" w:w="2340"/>
            <w:shd w:val="clear" w:color="auto" w:fill="1A2E4A"/>
          </w:tcPr>
          <w:p>
            <w:r/>
            <w:r>
              <w:rPr>
                <w:rFonts w:ascii="Times New Roman" w:hAnsi="Times New Roman"/>
                <w:b/>
                <w:color w:val="FFFFFF"/>
                <w:sz w:val="20"/>
              </w:rPr>
              <w:t>95% CI upper</w:t>
            </w:r>
          </w:p>
        </w:tc>
      </w:tr>
      <w:tr>
        <w:tc>
          <w:tcPr>
            <w:tcW w:type="dxa" w:w="2340"/>
          </w:tcPr>
          <w:p>
            <w:r/>
            <w:r>
              <w:rPr>
                <w:rFonts w:ascii="Times New Roman" w:hAnsi="Times New Roman"/>
                <w:color w:val="111111"/>
                <w:sz w:val="20"/>
              </w:rPr>
              <w:t>Miliku et al., 2016</w:t>
            </w:r>
          </w:p>
        </w:tc>
        <w:tc>
          <w:tcPr>
            <w:tcW w:type="dxa" w:w="2340"/>
          </w:tcPr>
          <w:p>
            <w:r/>
            <w:r>
              <w:rPr>
                <w:rFonts w:ascii="Times New Roman" w:hAnsi="Times New Roman"/>
                <w:color w:val="111111"/>
                <w:sz w:val="20"/>
              </w:rPr>
              <w:t>1.84</w:t>
            </w:r>
          </w:p>
        </w:tc>
        <w:tc>
          <w:tcPr>
            <w:tcW w:type="dxa" w:w="2340"/>
          </w:tcPr>
          <w:p>
            <w:r/>
            <w:r>
              <w:rPr>
                <w:rFonts w:ascii="Times New Roman" w:hAnsi="Times New Roman"/>
                <w:color w:val="111111"/>
                <w:sz w:val="20"/>
              </w:rPr>
              <w:t>1.24</w:t>
            </w:r>
          </w:p>
        </w:tc>
        <w:tc>
          <w:tcPr>
            <w:tcW w:type="dxa" w:w="2340"/>
          </w:tcPr>
          <w:p>
            <w:r/>
            <w:r>
              <w:rPr>
                <w:rFonts w:ascii="Times New Roman" w:hAnsi="Times New Roman"/>
                <w:color w:val="111111"/>
                <w:sz w:val="20"/>
              </w:rPr>
              <w:t>2.73</w:t>
            </w:r>
          </w:p>
        </w:tc>
      </w:tr>
      <w:tr>
        <w:tc>
          <w:tcPr>
            <w:tcW w:type="dxa" w:w="2340"/>
            <w:shd w:val="clear" w:color="auto" w:fill="F5F6F8"/>
          </w:tcPr>
          <w:p>
            <w:r/>
            <w:r>
              <w:rPr>
                <w:rFonts w:ascii="Times New Roman" w:hAnsi="Times New Roman"/>
                <w:color w:val="111111"/>
                <w:sz w:val="20"/>
              </w:rPr>
              <w:t>Gernand et al., 2014 (50–74 vs &lt;30)</w:t>
            </w:r>
          </w:p>
        </w:tc>
        <w:tc>
          <w:tcPr>
            <w:tcW w:type="dxa" w:w="2340"/>
            <w:shd w:val="clear" w:color="auto" w:fill="F5F6F8"/>
          </w:tcPr>
          <w:p>
            <w:r/>
            <w:r>
              <w:rPr>
                <w:rFonts w:ascii="Times New Roman" w:hAnsi="Times New Roman"/>
                <w:color w:val="111111"/>
                <w:sz w:val="20"/>
              </w:rPr>
              <w:t>2.03</w:t>
            </w:r>
          </w:p>
        </w:tc>
        <w:tc>
          <w:tcPr>
            <w:tcW w:type="dxa" w:w="2340"/>
            <w:shd w:val="clear" w:color="auto" w:fill="F5F6F8"/>
          </w:tcPr>
          <w:p>
            <w:r/>
            <w:r>
              <w:rPr>
                <w:rFonts w:ascii="Times New Roman" w:hAnsi="Times New Roman"/>
                <w:color w:val="111111"/>
                <w:sz w:val="20"/>
              </w:rPr>
              <w:t>1.46</w:t>
            </w:r>
          </w:p>
        </w:tc>
        <w:tc>
          <w:tcPr>
            <w:tcW w:type="dxa" w:w="2340"/>
            <w:shd w:val="clear" w:color="auto" w:fill="F5F6F8"/>
          </w:tcPr>
          <w:p>
            <w:r/>
            <w:r>
              <w:rPr>
                <w:rFonts w:ascii="Times New Roman" w:hAnsi="Times New Roman"/>
                <w:color w:val="111111"/>
                <w:sz w:val="20"/>
              </w:rPr>
              <w:t>2.81</w:t>
            </w:r>
          </w:p>
        </w:tc>
      </w:tr>
      <w:tr>
        <w:tc>
          <w:tcPr>
            <w:tcW w:type="dxa" w:w="2340"/>
          </w:tcPr>
          <w:p>
            <w:r/>
            <w:r>
              <w:rPr>
                <w:rFonts w:ascii="Times New Roman" w:hAnsi="Times New Roman"/>
                <w:color w:val="111111"/>
                <w:sz w:val="20"/>
              </w:rPr>
              <w:t>Gernand et al., 2014 (≥75 vs &lt;30)</w:t>
            </w:r>
          </w:p>
        </w:tc>
        <w:tc>
          <w:tcPr>
            <w:tcW w:type="dxa" w:w="2340"/>
          </w:tcPr>
          <w:p>
            <w:r/>
            <w:r>
              <w:rPr>
                <w:rFonts w:ascii="Times New Roman" w:hAnsi="Times New Roman"/>
                <w:color w:val="111111"/>
                <w:sz w:val="20"/>
              </w:rPr>
              <w:t>1.90</w:t>
            </w:r>
          </w:p>
        </w:tc>
        <w:tc>
          <w:tcPr>
            <w:tcW w:type="dxa" w:w="2340"/>
          </w:tcPr>
          <w:p>
            <w:r/>
            <w:r>
              <w:rPr>
                <w:rFonts w:ascii="Times New Roman" w:hAnsi="Times New Roman"/>
                <w:color w:val="111111"/>
                <w:sz w:val="20"/>
              </w:rPr>
              <w:t>1.39</w:t>
            </w:r>
          </w:p>
        </w:tc>
        <w:tc>
          <w:tcPr>
            <w:tcW w:type="dxa" w:w="2340"/>
          </w:tcPr>
          <w:p>
            <w:r/>
            <w:r>
              <w:rPr>
                <w:rFonts w:ascii="Times New Roman" w:hAnsi="Times New Roman"/>
                <w:color w:val="111111"/>
                <w:sz w:val="20"/>
              </w:rPr>
              <w:t>2.60</w:t>
            </w:r>
          </w:p>
        </w:tc>
      </w:tr>
      <w:tr>
        <w:tc>
          <w:tcPr>
            <w:tcW w:type="dxa" w:w="2340"/>
            <w:shd w:val="clear" w:color="auto" w:fill="F5F6F8"/>
          </w:tcPr>
          <w:p>
            <w:r/>
            <w:r>
              <w:rPr>
                <w:rFonts w:ascii="Times New Roman" w:hAnsi="Times New Roman"/>
                <w:color w:val="111111"/>
                <w:sz w:val="20"/>
              </w:rPr>
              <w:t>Beck et al., 2025</w:t>
            </w:r>
          </w:p>
        </w:tc>
        <w:tc>
          <w:tcPr>
            <w:tcW w:type="dxa" w:w="2340"/>
            <w:shd w:val="clear" w:color="auto" w:fill="F5F6F8"/>
          </w:tcPr>
          <w:p>
            <w:r/>
            <w:r>
              <w:rPr>
                <w:rFonts w:ascii="Times New Roman" w:hAnsi="Times New Roman"/>
                <w:color w:val="111111"/>
                <w:sz w:val="20"/>
              </w:rPr>
              <w:t>2.00</w:t>
            </w:r>
          </w:p>
        </w:tc>
        <w:tc>
          <w:tcPr>
            <w:tcW w:type="dxa" w:w="2340"/>
            <w:shd w:val="clear" w:color="auto" w:fill="F5F6F8"/>
          </w:tcPr>
          <w:p>
            <w:r/>
            <w:r>
              <w:rPr>
                <w:rFonts w:ascii="Times New Roman" w:hAnsi="Times New Roman"/>
                <w:color w:val="111111"/>
                <w:sz w:val="20"/>
              </w:rPr>
              <w:t>1.49</w:t>
            </w:r>
          </w:p>
        </w:tc>
        <w:tc>
          <w:tcPr>
            <w:tcW w:type="dxa" w:w="2340"/>
            <w:shd w:val="clear" w:color="auto" w:fill="F5F6F8"/>
          </w:tcPr>
          <w:p>
            <w:r/>
            <w:r>
              <w:rPr>
                <w:rFonts w:ascii="Times New Roman" w:hAnsi="Times New Roman"/>
                <w:color w:val="111111"/>
                <w:sz w:val="20"/>
              </w:rPr>
              <w:t>2.67</w:t>
            </w:r>
          </w:p>
        </w:tc>
      </w:tr>
      <w:tr>
        <w:tc>
          <w:tcPr>
            <w:tcW w:type="dxa" w:w="2340"/>
          </w:tcPr>
          <w:p>
            <w:r/>
            <w:r>
              <w:rPr>
                <w:rFonts w:ascii="Times New Roman" w:hAnsi="Times New Roman"/>
                <w:color w:val="111111"/>
                <w:sz w:val="20"/>
              </w:rPr>
              <w:t>Overall (all included)</w:t>
            </w:r>
          </w:p>
        </w:tc>
        <w:tc>
          <w:tcPr>
            <w:tcW w:type="dxa" w:w="2340"/>
          </w:tcPr>
          <w:p>
            <w:r/>
            <w:r>
              <w:rPr>
                <w:rFonts w:ascii="Times New Roman" w:hAnsi="Times New Roman"/>
                <w:color w:val="111111"/>
                <w:sz w:val="20"/>
              </w:rPr>
              <w:t>1.95</w:t>
            </w:r>
          </w:p>
        </w:tc>
        <w:tc>
          <w:tcPr>
            <w:tcW w:type="dxa" w:w="2340"/>
          </w:tcPr>
          <w:p>
            <w:r/>
            <w:r>
              <w:rPr>
                <w:rFonts w:ascii="Times New Roman" w:hAnsi="Times New Roman"/>
                <w:color w:val="111111"/>
                <w:sz w:val="20"/>
              </w:rPr>
              <w:t>1.47</w:t>
            </w:r>
          </w:p>
        </w:tc>
        <w:tc>
          <w:tcPr>
            <w:tcW w:type="dxa" w:w="2340"/>
          </w:tcPr>
          <w:p>
            <w:r/>
            <w:r>
              <w:rPr>
                <w:rFonts w:ascii="Times New Roman" w:hAnsi="Times New Roman"/>
                <w:color w:val="111111"/>
                <w:sz w:val="20"/>
              </w:rPr>
              <w:t>2.59</w:t>
            </w:r>
          </w:p>
        </w:tc>
      </w:tr>
    </w:tbl>
    <w:p/>
    <w:p>
      <w:pPr>
        <w:spacing w:before="240" w:after="120"/>
      </w:pPr>
      <w:r>
        <w:rPr>
          <w:rFonts w:ascii="Times New Roman" w:hAnsi="Times New Roman"/>
          <w:b/>
          <w:i w:val="0"/>
          <w:sz w:val="22"/>
        </w:rPr>
        <w:t xml:space="preserve">Table S3. </w:t>
      </w:r>
      <w:r>
        <w:rPr>
          <w:rFonts w:ascii="Times New Roman" w:hAnsi="Times New Roman"/>
          <w:b w:val="0"/>
          <w:i/>
          <w:sz w:val="22"/>
        </w:rPr>
        <w:t>Individual study data for SGA/FGR meta-analysis. Inverted = effect direction harmonised (deficiency → increased risk).</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2E4A"/>
          </w:tcPr>
          <w:p>
            <w:r/>
            <w:r>
              <w:rPr>
                <w:rFonts w:ascii="Times New Roman" w:hAnsi="Times New Roman"/>
                <w:b/>
                <w:color w:val="FFFFFF"/>
                <w:sz w:val="18"/>
              </w:rPr>
              <w:t>Study</w:t>
            </w:r>
          </w:p>
        </w:tc>
        <w:tc>
          <w:tcPr>
            <w:tcW w:type="dxa" w:w="1040"/>
            <w:shd w:val="clear" w:color="auto" w:fill="1A2E4A"/>
          </w:tcPr>
          <w:p>
            <w:r/>
            <w:r>
              <w:rPr>
                <w:rFonts w:ascii="Times New Roman" w:hAnsi="Times New Roman"/>
                <w:b/>
                <w:color w:val="FFFFFF"/>
                <w:sz w:val="18"/>
              </w:rPr>
              <w:t>Year</w:t>
            </w:r>
          </w:p>
        </w:tc>
        <w:tc>
          <w:tcPr>
            <w:tcW w:type="dxa" w:w="1040"/>
            <w:shd w:val="clear" w:color="auto" w:fill="1A2E4A"/>
          </w:tcPr>
          <w:p>
            <w:r/>
            <w:r>
              <w:rPr>
                <w:rFonts w:ascii="Times New Roman" w:hAnsi="Times New Roman"/>
                <w:b/>
                <w:color w:val="FFFFFF"/>
                <w:sz w:val="18"/>
              </w:rPr>
              <w:t>N</w:t>
            </w:r>
          </w:p>
        </w:tc>
        <w:tc>
          <w:tcPr>
            <w:tcW w:type="dxa" w:w="1040"/>
            <w:shd w:val="clear" w:color="auto" w:fill="1A2E4A"/>
          </w:tcPr>
          <w:p>
            <w:r/>
            <w:r>
              <w:rPr>
                <w:rFonts w:ascii="Times New Roman" w:hAnsi="Times New Roman"/>
                <w:b/>
                <w:color w:val="FFFFFF"/>
                <w:sz w:val="18"/>
              </w:rPr>
              <w:t>OR</w:t>
            </w:r>
          </w:p>
        </w:tc>
        <w:tc>
          <w:tcPr>
            <w:tcW w:type="dxa" w:w="1040"/>
            <w:shd w:val="clear" w:color="auto" w:fill="1A2E4A"/>
          </w:tcPr>
          <w:p>
            <w:r/>
            <w:r>
              <w:rPr>
                <w:rFonts w:ascii="Times New Roman" w:hAnsi="Times New Roman"/>
                <w:b/>
                <w:color w:val="FFFFFF"/>
                <w:sz w:val="18"/>
              </w:rPr>
              <w:t>95% CI</w:t>
            </w:r>
          </w:p>
        </w:tc>
        <w:tc>
          <w:tcPr>
            <w:tcW w:type="dxa" w:w="1040"/>
            <w:shd w:val="clear" w:color="auto" w:fill="1A2E4A"/>
          </w:tcPr>
          <w:p>
            <w:r/>
            <w:r>
              <w:rPr>
                <w:rFonts w:ascii="Times New Roman" w:hAnsi="Times New Roman"/>
                <w:b/>
                <w:color w:val="FFFFFF"/>
                <w:sz w:val="18"/>
              </w:rPr>
              <w:t>Cutoff</w:t>
              <w:br/>
              <w:t>(nmol/L)</w:t>
            </w:r>
          </w:p>
        </w:tc>
        <w:tc>
          <w:tcPr>
            <w:tcW w:type="dxa" w:w="1040"/>
            <w:shd w:val="clear" w:color="auto" w:fill="1A2E4A"/>
          </w:tcPr>
          <w:p>
            <w:r/>
            <w:r>
              <w:rPr>
                <w:rFonts w:ascii="Times New Roman" w:hAnsi="Times New Roman"/>
                <w:b/>
                <w:color w:val="FFFFFF"/>
                <w:sz w:val="18"/>
              </w:rPr>
              <w:t>Lab</w:t>
            </w:r>
          </w:p>
        </w:tc>
        <w:tc>
          <w:tcPr>
            <w:tcW w:type="dxa" w:w="1040"/>
            <w:shd w:val="clear" w:color="auto" w:fill="1A2E4A"/>
          </w:tcPr>
          <w:p>
            <w:r/>
            <w:r>
              <w:rPr>
                <w:rFonts w:ascii="Times New Roman" w:hAnsi="Times New Roman"/>
                <w:b/>
                <w:color w:val="FFFFFF"/>
                <w:sz w:val="18"/>
              </w:rPr>
              <w:t>Design</w:t>
            </w:r>
          </w:p>
        </w:tc>
        <w:tc>
          <w:tcPr>
            <w:tcW w:type="dxa" w:w="1040"/>
            <w:shd w:val="clear" w:color="auto" w:fill="1A2E4A"/>
          </w:tcPr>
          <w:p>
            <w:r/>
            <w:r>
              <w:rPr>
                <w:rFonts w:ascii="Times New Roman" w:hAnsi="Times New Roman"/>
                <w:b/>
                <w:color w:val="FFFFFF"/>
                <w:sz w:val="18"/>
              </w:rPr>
              <w:t>Inverted</w:t>
            </w:r>
          </w:p>
        </w:tc>
      </w:tr>
      <w:tr>
        <w:tc>
          <w:tcPr>
            <w:tcW w:type="dxa" w:w="1040"/>
          </w:tcPr>
          <w:p>
            <w:r/>
            <w:r>
              <w:rPr>
                <w:rFonts w:ascii="Times New Roman" w:hAnsi="Times New Roman"/>
                <w:color w:val="111111"/>
                <w:sz w:val="18"/>
              </w:rPr>
              <w:t>Miliku et al.</w:t>
            </w:r>
          </w:p>
        </w:tc>
        <w:tc>
          <w:tcPr>
            <w:tcW w:type="dxa" w:w="1040"/>
          </w:tcPr>
          <w:p>
            <w:r/>
            <w:r>
              <w:rPr>
                <w:rFonts w:ascii="Times New Roman" w:hAnsi="Times New Roman"/>
                <w:color w:val="111111"/>
                <w:sz w:val="18"/>
              </w:rPr>
              <w:t>2016</w:t>
            </w:r>
          </w:p>
        </w:tc>
        <w:tc>
          <w:tcPr>
            <w:tcW w:type="dxa" w:w="1040"/>
          </w:tcPr>
          <w:p>
            <w:r/>
            <w:r>
              <w:rPr>
                <w:rFonts w:ascii="Times New Roman" w:hAnsi="Times New Roman"/>
                <w:color w:val="111111"/>
                <w:sz w:val="18"/>
              </w:rPr>
              <w:t>7,098</w:t>
            </w:r>
          </w:p>
        </w:tc>
        <w:tc>
          <w:tcPr>
            <w:tcW w:type="dxa" w:w="1040"/>
          </w:tcPr>
          <w:p>
            <w:r/>
            <w:r>
              <w:rPr>
                <w:rFonts w:ascii="Times New Roman" w:hAnsi="Times New Roman"/>
                <w:color w:val="111111"/>
                <w:sz w:val="18"/>
              </w:rPr>
              <w:t>2.07</w:t>
            </w:r>
          </w:p>
        </w:tc>
        <w:tc>
          <w:tcPr>
            <w:tcW w:type="dxa" w:w="1040"/>
          </w:tcPr>
          <w:p>
            <w:r/>
            <w:r>
              <w:rPr>
                <w:rFonts w:ascii="Times New Roman" w:hAnsi="Times New Roman"/>
                <w:color w:val="111111"/>
                <w:sz w:val="18"/>
              </w:rPr>
              <w:t>1.38–3.09</w:t>
            </w:r>
          </w:p>
        </w:tc>
        <w:tc>
          <w:tcPr>
            <w:tcW w:type="dxa" w:w="1040"/>
          </w:tcPr>
          <w:p>
            <w:r/>
            <w:r>
              <w:rPr>
                <w:rFonts w:ascii="Times New Roman" w:hAnsi="Times New Roman"/>
                <w:color w:val="111111"/>
                <w:sz w:val="18"/>
              </w:rPr>
              <w:t>25</w:t>
            </w:r>
          </w:p>
        </w:tc>
        <w:tc>
          <w:tcPr>
            <w:tcW w:type="dxa" w:w="1040"/>
          </w:tcPr>
          <w:p>
            <w:r/>
            <w:r>
              <w:rPr>
                <w:rFonts w:ascii="Times New Roman" w:hAnsi="Times New Roman"/>
                <w:color w:val="111111"/>
                <w:sz w:val="18"/>
              </w:rPr>
              <w:t>HPLC-MS/MS</w:t>
            </w:r>
          </w:p>
        </w:tc>
        <w:tc>
          <w:tcPr>
            <w:tcW w:type="dxa" w:w="1040"/>
          </w:tcPr>
          <w:p>
            <w:r/>
            <w:r>
              <w:rPr>
                <w:rFonts w:ascii="Times New Roman" w:hAnsi="Times New Roman"/>
                <w:color w:val="111111"/>
                <w:sz w:val="18"/>
              </w:rPr>
              <w:t>Prospective</w:t>
            </w:r>
          </w:p>
        </w:tc>
        <w:tc>
          <w:tcPr>
            <w:tcW w:type="dxa" w:w="1040"/>
          </w:tcPr>
          <w:p>
            <w:r/>
            <w:r>
              <w:rPr>
                <w:rFonts w:ascii="Times New Roman" w:hAnsi="Times New Roman"/>
                <w:color w:val="111111"/>
                <w:sz w:val="18"/>
              </w:rPr>
              <w:t>No</w:t>
            </w:r>
          </w:p>
        </w:tc>
      </w:tr>
      <w:tr>
        <w:tc>
          <w:tcPr>
            <w:tcW w:type="dxa" w:w="1040"/>
            <w:shd w:val="clear" w:color="auto" w:fill="F5F6F8"/>
          </w:tcPr>
          <w:p>
            <w:r/>
            <w:r>
              <w:rPr>
                <w:rFonts w:ascii="Times New Roman" w:hAnsi="Times New Roman"/>
                <w:color w:val="111111"/>
                <w:sz w:val="18"/>
              </w:rPr>
              <w:t>Gernand et al. (50–74)</w:t>
            </w:r>
          </w:p>
        </w:tc>
        <w:tc>
          <w:tcPr>
            <w:tcW w:type="dxa" w:w="1040"/>
            <w:shd w:val="clear" w:color="auto" w:fill="F5F6F8"/>
          </w:tcPr>
          <w:p>
            <w:r/>
            <w:r>
              <w:rPr>
                <w:rFonts w:ascii="Times New Roman" w:hAnsi="Times New Roman"/>
                <w:color w:val="111111"/>
                <w:sz w:val="18"/>
              </w:rPr>
              <w:t>2014</w:t>
            </w:r>
          </w:p>
        </w:tc>
        <w:tc>
          <w:tcPr>
            <w:tcW w:type="dxa" w:w="1040"/>
            <w:shd w:val="clear" w:color="auto" w:fill="F5F6F8"/>
          </w:tcPr>
          <w:p>
            <w:r/>
            <w:r>
              <w:rPr>
                <w:rFonts w:ascii="Times New Roman" w:hAnsi="Times New Roman"/>
                <w:color w:val="111111"/>
                <w:sz w:val="18"/>
              </w:rPr>
              <w:t>792</w:t>
            </w:r>
          </w:p>
        </w:tc>
        <w:tc>
          <w:tcPr>
            <w:tcW w:type="dxa" w:w="1040"/>
            <w:shd w:val="clear" w:color="auto" w:fill="F5F6F8"/>
          </w:tcPr>
          <w:p>
            <w:r/>
            <w:r>
              <w:rPr>
                <w:rFonts w:ascii="Times New Roman" w:hAnsi="Times New Roman"/>
                <w:color w:val="111111"/>
                <w:sz w:val="18"/>
              </w:rPr>
              <w:t>1.75</w:t>
            </w:r>
          </w:p>
        </w:tc>
        <w:tc>
          <w:tcPr>
            <w:tcW w:type="dxa" w:w="1040"/>
            <w:shd w:val="clear" w:color="auto" w:fill="F5F6F8"/>
          </w:tcPr>
          <w:p>
            <w:r/>
            <w:r>
              <w:rPr>
                <w:rFonts w:ascii="Times New Roman" w:hAnsi="Times New Roman"/>
                <w:color w:val="111111"/>
                <w:sz w:val="18"/>
              </w:rPr>
              <w:t>1.01–3.03</w:t>
            </w:r>
          </w:p>
        </w:tc>
        <w:tc>
          <w:tcPr>
            <w:tcW w:type="dxa" w:w="1040"/>
            <w:shd w:val="clear" w:color="auto" w:fill="F5F6F8"/>
          </w:tcPr>
          <w:p>
            <w:r/>
            <w:r>
              <w:rPr>
                <w:rFonts w:ascii="Times New Roman" w:hAnsi="Times New Roman"/>
                <w:color w:val="111111"/>
                <w:sz w:val="18"/>
              </w:rPr>
              <w:t>30</w:t>
            </w:r>
          </w:p>
        </w:tc>
        <w:tc>
          <w:tcPr>
            <w:tcW w:type="dxa" w:w="1040"/>
            <w:shd w:val="clear" w:color="auto" w:fill="F5F6F8"/>
          </w:tcPr>
          <w:p>
            <w:r/>
            <w:r>
              <w:rPr>
                <w:rFonts w:ascii="Times New Roman" w:hAnsi="Times New Roman"/>
                <w:color w:val="111111"/>
                <w:sz w:val="18"/>
              </w:rPr>
              <w:t>HPLC-MS/MS</w:t>
            </w:r>
          </w:p>
        </w:tc>
        <w:tc>
          <w:tcPr>
            <w:tcW w:type="dxa" w:w="1040"/>
            <w:shd w:val="clear" w:color="auto" w:fill="F5F6F8"/>
          </w:tcPr>
          <w:p>
            <w:r/>
            <w:r>
              <w:rPr>
                <w:rFonts w:ascii="Times New Roman" w:hAnsi="Times New Roman"/>
                <w:color w:val="111111"/>
                <w:sz w:val="18"/>
              </w:rPr>
              <w:t>Observational</w:t>
            </w:r>
          </w:p>
        </w:tc>
        <w:tc>
          <w:tcPr>
            <w:tcW w:type="dxa" w:w="1040"/>
            <w:shd w:val="clear" w:color="auto" w:fill="F5F6F8"/>
          </w:tcPr>
          <w:p>
            <w:r/>
            <w:r>
              <w:rPr>
                <w:rFonts w:ascii="Times New Roman" w:hAnsi="Times New Roman"/>
                <w:color w:val="111111"/>
                <w:sz w:val="18"/>
              </w:rPr>
              <w:t>Yes</w:t>
            </w:r>
          </w:p>
        </w:tc>
      </w:tr>
      <w:tr>
        <w:tc>
          <w:tcPr>
            <w:tcW w:type="dxa" w:w="1040"/>
          </w:tcPr>
          <w:p>
            <w:r/>
            <w:r>
              <w:rPr>
                <w:rFonts w:ascii="Times New Roman" w:hAnsi="Times New Roman"/>
                <w:color w:val="111111"/>
                <w:sz w:val="18"/>
              </w:rPr>
              <w:t>Gernand et al. (≥75)</w:t>
            </w:r>
          </w:p>
        </w:tc>
        <w:tc>
          <w:tcPr>
            <w:tcW w:type="dxa" w:w="1040"/>
          </w:tcPr>
          <w:p>
            <w:r/>
            <w:r>
              <w:rPr>
                <w:rFonts w:ascii="Times New Roman" w:hAnsi="Times New Roman"/>
                <w:color w:val="111111"/>
                <w:sz w:val="18"/>
              </w:rPr>
              <w:t>2014</w:t>
            </w:r>
          </w:p>
        </w:tc>
        <w:tc>
          <w:tcPr>
            <w:tcW w:type="dxa" w:w="1040"/>
          </w:tcPr>
          <w:p>
            <w:r/>
            <w:r>
              <w:rPr>
                <w:rFonts w:ascii="Times New Roman" w:hAnsi="Times New Roman"/>
                <w:color w:val="111111"/>
                <w:sz w:val="18"/>
              </w:rPr>
              <w:t>792</w:t>
            </w:r>
          </w:p>
        </w:tc>
        <w:tc>
          <w:tcPr>
            <w:tcW w:type="dxa" w:w="1040"/>
          </w:tcPr>
          <w:p>
            <w:r/>
            <w:r>
              <w:rPr>
                <w:rFonts w:ascii="Times New Roman" w:hAnsi="Times New Roman"/>
                <w:color w:val="111111"/>
                <w:sz w:val="18"/>
              </w:rPr>
              <w:t>2.17</w:t>
            </w:r>
          </w:p>
        </w:tc>
        <w:tc>
          <w:tcPr>
            <w:tcW w:type="dxa" w:w="1040"/>
          </w:tcPr>
          <w:p>
            <w:r/>
            <w:r>
              <w:rPr>
                <w:rFonts w:ascii="Times New Roman" w:hAnsi="Times New Roman"/>
                <w:color w:val="111111"/>
                <w:sz w:val="18"/>
              </w:rPr>
              <w:t>1.15–4.17</w:t>
            </w:r>
          </w:p>
        </w:tc>
        <w:tc>
          <w:tcPr>
            <w:tcW w:type="dxa" w:w="1040"/>
          </w:tcPr>
          <w:p>
            <w:r/>
            <w:r>
              <w:rPr>
                <w:rFonts w:ascii="Times New Roman" w:hAnsi="Times New Roman"/>
                <w:color w:val="111111"/>
                <w:sz w:val="18"/>
              </w:rPr>
              <w:t>30</w:t>
            </w:r>
          </w:p>
        </w:tc>
        <w:tc>
          <w:tcPr>
            <w:tcW w:type="dxa" w:w="1040"/>
          </w:tcPr>
          <w:p>
            <w:r/>
            <w:r>
              <w:rPr>
                <w:rFonts w:ascii="Times New Roman" w:hAnsi="Times New Roman"/>
                <w:color w:val="111111"/>
                <w:sz w:val="18"/>
              </w:rPr>
              <w:t>HPLC-MS/MS</w:t>
            </w:r>
          </w:p>
        </w:tc>
        <w:tc>
          <w:tcPr>
            <w:tcW w:type="dxa" w:w="1040"/>
          </w:tcPr>
          <w:p>
            <w:r/>
            <w:r>
              <w:rPr>
                <w:rFonts w:ascii="Times New Roman" w:hAnsi="Times New Roman"/>
                <w:color w:val="111111"/>
                <w:sz w:val="18"/>
              </w:rPr>
              <w:t>Observational</w:t>
            </w:r>
          </w:p>
        </w:tc>
        <w:tc>
          <w:tcPr>
            <w:tcW w:type="dxa" w:w="1040"/>
          </w:tcPr>
          <w:p>
            <w:r/>
            <w:r>
              <w:rPr>
                <w:rFonts w:ascii="Times New Roman" w:hAnsi="Times New Roman"/>
                <w:color w:val="111111"/>
                <w:sz w:val="18"/>
              </w:rPr>
              <w:t>Yes</w:t>
            </w:r>
          </w:p>
        </w:tc>
      </w:tr>
      <w:tr>
        <w:tc>
          <w:tcPr>
            <w:tcW w:type="dxa" w:w="1040"/>
            <w:shd w:val="clear" w:color="auto" w:fill="F5F6F8"/>
          </w:tcPr>
          <w:p>
            <w:r/>
            <w:r>
              <w:rPr>
                <w:rFonts w:ascii="Times New Roman" w:hAnsi="Times New Roman"/>
                <w:color w:val="111111"/>
                <w:sz w:val="18"/>
              </w:rPr>
              <w:t>Beck et al.</w:t>
            </w:r>
          </w:p>
        </w:tc>
        <w:tc>
          <w:tcPr>
            <w:tcW w:type="dxa" w:w="1040"/>
            <w:shd w:val="clear" w:color="auto" w:fill="F5F6F8"/>
          </w:tcPr>
          <w:p>
            <w:r/>
            <w:r>
              <w:rPr>
                <w:rFonts w:ascii="Times New Roman" w:hAnsi="Times New Roman"/>
                <w:color w:val="111111"/>
                <w:sz w:val="18"/>
              </w:rPr>
              <w:t>2025</w:t>
            </w:r>
          </w:p>
        </w:tc>
        <w:tc>
          <w:tcPr>
            <w:tcW w:type="dxa" w:w="1040"/>
            <w:shd w:val="clear" w:color="auto" w:fill="F5F6F8"/>
          </w:tcPr>
          <w:p>
            <w:r/>
            <w:r>
              <w:rPr>
                <w:rFonts w:ascii="Times New Roman" w:hAnsi="Times New Roman"/>
                <w:color w:val="111111"/>
                <w:sz w:val="18"/>
              </w:rPr>
              <w:t>351</w:t>
            </w:r>
          </w:p>
        </w:tc>
        <w:tc>
          <w:tcPr>
            <w:tcW w:type="dxa" w:w="1040"/>
            <w:shd w:val="clear" w:color="auto" w:fill="F5F6F8"/>
          </w:tcPr>
          <w:p>
            <w:r/>
            <w:r>
              <w:rPr>
                <w:rFonts w:ascii="Times New Roman" w:hAnsi="Times New Roman"/>
                <w:color w:val="111111"/>
                <w:sz w:val="18"/>
              </w:rPr>
              <w:t>1.28</w:t>
            </w:r>
          </w:p>
        </w:tc>
        <w:tc>
          <w:tcPr>
            <w:tcW w:type="dxa" w:w="1040"/>
            <w:shd w:val="clear" w:color="auto" w:fill="F5F6F8"/>
          </w:tcPr>
          <w:p>
            <w:r/>
            <w:r>
              <w:rPr>
                <w:rFonts w:ascii="Times New Roman" w:hAnsi="Times New Roman"/>
                <w:color w:val="111111"/>
                <w:sz w:val="18"/>
              </w:rPr>
              <w:t>0.38–4.35</w:t>
            </w:r>
          </w:p>
        </w:tc>
        <w:tc>
          <w:tcPr>
            <w:tcW w:type="dxa" w:w="1040"/>
            <w:shd w:val="clear" w:color="auto" w:fill="F5F6F8"/>
          </w:tcPr>
          <w:p>
            <w:r/>
            <w:r>
              <w:rPr>
                <w:rFonts w:ascii="Times New Roman" w:hAnsi="Times New Roman"/>
                <w:color w:val="111111"/>
                <w:sz w:val="18"/>
              </w:rPr>
              <w:t>50</w:t>
            </w:r>
          </w:p>
        </w:tc>
        <w:tc>
          <w:tcPr>
            <w:tcW w:type="dxa" w:w="1040"/>
            <w:shd w:val="clear" w:color="auto" w:fill="F5F6F8"/>
          </w:tcPr>
          <w:p>
            <w:r/>
            <w:r>
              <w:rPr>
                <w:rFonts w:ascii="Times New Roman" w:hAnsi="Times New Roman"/>
                <w:color w:val="111111"/>
                <w:sz w:val="18"/>
              </w:rPr>
              <w:t>HPLC-MS/MS</w:t>
            </w:r>
          </w:p>
        </w:tc>
        <w:tc>
          <w:tcPr>
            <w:tcW w:type="dxa" w:w="1040"/>
            <w:shd w:val="clear" w:color="auto" w:fill="F5F6F8"/>
          </w:tcPr>
          <w:p>
            <w:r/>
            <w:r>
              <w:rPr>
                <w:rFonts w:ascii="Times New Roman" w:hAnsi="Times New Roman"/>
                <w:color w:val="111111"/>
                <w:sz w:val="18"/>
              </w:rPr>
              <w:t>Cohort</w:t>
            </w:r>
          </w:p>
        </w:tc>
        <w:tc>
          <w:tcPr>
            <w:tcW w:type="dxa" w:w="1040"/>
            <w:shd w:val="clear" w:color="auto" w:fill="F5F6F8"/>
          </w:tcPr>
          <w:p>
            <w:r/>
            <w:r>
              <w:rPr>
                <w:rFonts w:ascii="Times New Roman" w:hAnsi="Times New Roman"/>
                <w:color w:val="111111"/>
                <w:sz w:val="18"/>
              </w:rPr>
              <w:t>Yes</w:t>
            </w:r>
          </w:p>
        </w:tc>
      </w:tr>
    </w:tbl>
    <w:p/>
    <w:p>
      <w:pPr>
        <w:spacing w:before="240" w:after="120"/>
      </w:pPr>
      <w:r>
        <w:rPr>
          <w:rFonts w:ascii="Times New Roman" w:hAnsi="Times New Roman"/>
          <w:b/>
          <w:i w:val="0"/>
          <w:sz w:val="22"/>
        </w:rPr>
        <w:t xml:space="preserve">Table S4. </w:t>
      </w:r>
      <w:r>
        <w:rPr>
          <w:rFonts w:ascii="Times New Roman" w:hAnsi="Times New Roman"/>
          <w:b w:val="0"/>
          <w:i/>
          <w:sz w:val="22"/>
        </w:rPr>
        <w:t>Individual study data for biometry/EFW meta-analysis.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2E4A"/>
          </w:tcPr>
          <w:p>
            <w:r/>
            <w:r>
              <w:rPr>
                <w:rFonts w:ascii="Times New Roman" w:hAnsi="Times New Roman"/>
                <w:b/>
                <w:color w:val="FFFFFF"/>
                <w:sz w:val="18"/>
              </w:rPr>
              <w:t>Study</w:t>
            </w:r>
          </w:p>
        </w:tc>
        <w:tc>
          <w:tcPr>
            <w:tcW w:type="dxa" w:w="1337"/>
            <w:shd w:val="clear" w:color="auto" w:fill="1A2E4A"/>
          </w:tcPr>
          <w:p>
            <w:r/>
            <w:r>
              <w:rPr>
                <w:rFonts w:ascii="Times New Roman" w:hAnsi="Times New Roman"/>
                <w:b/>
                <w:color w:val="FFFFFF"/>
                <w:sz w:val="18"/>
              </w:rPr>
              <w:t>Year</w:t>
            </w:r>
          </w:p>
        </w:tc>
        <w:tc>
          <w:tcPr>
            <w:tcW w:type="dxa" w:w="1337"/>
            <w:shd w:val="clear" w:color="auto" w:fill="1A2E4A"/>
          </w:tcPr>
          <w:p>
            <w:r/>
            <w:r>
              <w:rPr>
                <w:rFonts w:ascii="Times New Roman" w:hAnsi="Times New Roman"/>
                <w:b/>
                <w:color w:val="FFFFFF"/>
                <w:sz w:val="18"/>
              </w:rPr>
              <w:t>N</w:t>
            </w:r>
          </w:p>
        </w:tc>
        <w:tc>
          <w:tcPr>
            <w:tcW w:type="dxa" w:w="1337"/>
            <w:shd w:val="clear" w:color="auto" w:fill="1A2E4A"/>
          </w:tcPr>
          <w:p>
            <w:r/>
            <w:r>
              <w:rPr>
                <w:rFonts w:ascii="Times New Roman" w:hAnsi="Times New Roman"/>
                <w:b/>
                <w:color w:val="FFFFFF"/>
                <w:sz w:val="18"/>
              </w:rPr>
              <w:t>OR</w:t>
            </w:r>
          </w:p>
        </w:tc>
        <w:tc>
          <w:tcPr>
            <w:tcW w:type="dxa" w:w="1337"/>
            <w:shd w:val="clear" w:color="auto" w:fill="1A2E4A"/>
          </w:tcPr>
          <w:p>
            <w:r/>
            <w:r>
              <w:rPr>
                <w:rFonts w:ascii="Times New Roman" w:hAnsi="Times New Roman"/>
                <w:b/>
                <w:color w:val="FFFFFF"/>
                <w:sz w:val="18"/>
              </w:rPr>
              <w:t>95% CI</w:t>
            </w:r>
          </w:p>
        </w:tc>
        <w:tc>
          <w:tcPr>
            <w:tcW w:type="dxa" w:w="1337"/>
            <w:shd w:val="clear" w:color="auto" w:fill="1A2E4A"/>
          </w:tcPr>
          <w:p>
            <w:r/>
            <w:r>
              <w:rPr>
                <w:rFonts w:ascii="Times New Roman" w:hAnsi="Times New Roman"/>
                <w:b/>
                <w:color w:val="FFFFFF"/>
                <w:sz w:val="18"/>
              </w:rPr>
              <w:t>Outcome</w:t>
            </w:r>
          </w:p>
        </w:tc>
        <w:tc>
          <w:tcPr>
            <w:tcW w:type="dxa" w:w="1337"/>
            <w:shd w:val="clear" w:color="auto" w:fill="1A2E4A"/>
          </w:tcPr>
          <w:p>
            <w:r/>
            <w:r>
              <w:rPr>
                <w:rFonts w:ascii="Times New Roman" w:hAnsi="Times New Roman"/>
                <w:b/>
                <w:color w:val="FFFFFF"/>
                <w:sz w:val="18"/>
              </w:rPr>
              <w:t>Lab</w:t>
            </w:r>
          </w:p>
        </w:tc>
      </w:tr>
      <w:tr>
        <w:tc>
          <w:tcPr>
            <w:tcW w:type="dxa" w:w="1337"/>
          </w:tcPr>
          <w:p>
            <w:r/>
            <w:r>
              <w:rPr>
                <w:rFonts w:ascii="Times New Roman" w:hAnsi="Times New Roman"/>
                <w:color w:val="111111"/>
                <w:sz w:val="18"/>
              </w:rPr>
              <w:t>Liu et al.</w:t>
            </w:r>
          </w:p>
        </w:tc>
        <w:tc>
          <w:tcPr>
            <w:tcW w:type="dxa" w:w="1337"/>
          </w:tcPr>
          <w:p>
            <w:r/>
            <w:r>
              <w:rPr>
                <w:rFonts w:ascii="Times New Roman" w:hAnsi="Times New Roman"/>
                <w:color w:val="111111"/>
                <w:sz w:val="18"/>
              </w:rPr>
              <w:t>2020</w:t>
            </w:r>
          </w:p>
        </w:tc>
        <w:tc>
          <w:tcPr>
            <w:tcW w:type="dxa" w:w="1337"/>
          </w:tcPr>
          <w:p>
            <w:r/>
            <w:r>
              <w:rPr>
                <w:rFonts w:ascii="Times New Roman" w:hAnsi="Times New Roman"/>
                <w:color w:val="111111"/>
                <w:sz w:val="18"/>
              </w:rPr>
              <w:t>10,913</w:t>
            </w:r>
          </w:p>
        </w:tc>
        <w:tc>
          <w:tcPr>
            <w:tcW w:type="dxa" w:w="1337"/>
          </w:tcPr>
          <w:p>
            <w:r/>
            <w:r>
              <w:rPr>
                <w:rFonts w:ascii="Times New Roman" w:hAnsi="Times New Roman"/>
                <w:color w:val="111111"/>
                <w:sz w:val="18"/>
              </w:rPr>
              <w:t>1.11</w:t>
            </w:r>
          </w:p>
        </w:tc>
        <w:tc>
          <w:tcPr>
            <w:tcW w:type="dxa" w:w="1337"/>
          </w:tcPr>
          <w:p>
            <w:r/>
            <w:r>
              <w:rPr>
                <w:rFonts w:ascii="Times New Roman" w:hAnsi="Times New Roman"/>
                <w:color w:val="111111"/>
                <w:sz w:val="18"/>
              </w:rPr>
              <w:t>1.02–1.21</w:t>
            </w:r>
          </w:p>
        </w:tc>
        <w:tc>
          <w:tcPr>
            <w:tcW w:type="dxa" w:w="1337"/>
          </w:tcPr>
          <w:p>
            <w:r/>
            <w:r>
              <w:rPr>
                <w:rFonts w:ascii="Times New Roman" w:hAnsi="Times New Roman"/>
                <w:color w:val="111111"/>
                <w:sz w:val="18"/>
              </w:rPr>
              <w:t>Excessive EFW</w:t>
            </w:r>
          </w:p>
        </w:tc>
        <w:tc>
          <w:tcPr>
            <w:tcW w:type="dxa" w:w="1337"/>
          </w:tcPr>
          <w:p>
            <w:r/>
            <w:r>
              <w:rPr>
                <w:rFonts w:ascii="Times New Roman" w:hAnsi="Times New Roman"/>
                <w:color w:val="111111"/>
                <w:sz w:val="18"/>
              </w:rPr>
              <w:t>HPLC-MS/MS</w:t>
            </w:r>
          </w:p>
        </w:tc>
      </w:tr>
      <w:tr>
        <w:tc>
          <w:tcPr>
            <w:tcW w:type="dxa" w:w="1337"/>
            <w:shd w:val="clear" w:color="auto" w:fill="F5F6F8"/>
          </w:tcPr>
          <w:p>
            <w:r/>
            <w:r>
              <w:rPr>
                <w:rFonts w:ascii="Times New Roman" w:hAnsi="Times New Roman"/>
                <w:color w:val="111111"/>
                <w:sz w:val="18"/>
              </w:rPr>
              <w:t>Liu et al. (VitD+GDM)</w:t>
            </w:r>
          </w:p>
        </w:tc>
        <w:tc>
          <w:tcPr>
            <w:tcW w:type="dxa" w:w="1337"/>
            <w:shd w:val="clear" w:color="auto" w:fill="F5F6F8"/>
          </w:tcPr>
          <w:p>
            <w:r/>
            <w:r>
              <w:rPr>
                <w:rFonts w:ascii="Times New Roman" w:hAnsi="Times New Roman"/>
                <w:color w:val="111111"/>
                <w:sz w:val="18"/>
              </w:rPr>
              <w:t>2020</w:t>
            </w:r>
          </w:p>
        </w:tc>
        <w:tc>
          <w:tcPr>
            <w:tcW w:type="dxa" w:w="1337"/>
            <w:shd w:val="clear" w:color="auto" w:fill="F5F6F8"/>
          </w:tcPr>
          <w:p>
            <w:r/>
            <w:r>
              <w:rPr>
                <w:rFonts w:ascii="Times New Roman" w:hAnsi="Times New Roman"/>
                <w:color w:val="111111"/>
                <w:sz w:val="18"/>
              </w:rPr>
              <w:t>10,913</w:t>
            </w:r>
          </w:p>
        </w:tc>
        <w:tc>
          <w:tcPr>
            <w:tcW w:type="dxa" w:w="1337"/>
            <w:shd w:val="clear" w:color="auto" w:fill="F5F6F8"/>
          </w:tcPr>
          <w:p>
            <w:r/>
            <w:r>
              <w:rPr>
                <w:rFonts w:ascii="Times New Roman" w:hAnsi="Times New Roman"/>
                <w:color w:val="111111"/>
                <w:sz w:val="18"/>
              </w:rPr>
              <w:t>1.36</w:t>
            </w:r>
          </w:p>
        </w:tc>
        <w:tc>
          <w:tcPr>
            <w:tcW w:type="dxa" w:w="1337"/>
            <w:shd w:val="clear" w:color="auto" w:fill="F5F6F8"/>
          </w:tcPr>
          <w:p>
            <w:r/>
            <w:r>
              <w:rPr>
                <w:rFonts w:ascii="Times New Roman" w:hAnsi="Times New Roman"/>
                <w:color w:val="111111"/>
                <w:sz w:val="18"/>
              </w:rPr>
              <w:t>1.15–1.62</w:t>
            </w:r>
          </w:p>
        </w:tc>
        <w:tc>
          <w:tcPr>
            <w:tcW w:type="dxa" w:w="1337"/>
            <w:shd w:val="clear" w:color="auto" w:fill="F5F6F8"/>
          </w:tcPr>
          <w:p>
            <w:r/>
            <w:r>
              <w:rPr>
                <w:rFonts w:ascii="Times New Roman" w:hAnsi="Times New Roman"/>
                <w:color w:val="111111"/>
                <w:sz w:val="18"/>
              </w:rPr>
              <w:t>EFW (VitD+GDM)</w:t>
            </w:r>
          </w:p>
        </w:tc>
        <w:tc>
          <w:tcPr>
            <w:tcW w:type="dxa" w:w="1337"/>
            <w:shd w:val="clear" w:color="auto" w:fill="F5F6F8"/>
          </w:tcPr>
          <w:p>
            <w:r/>
            <w:r>
              <w:rPr>
                <w:rFonts w:ascii="Times New Roman" w:hAnsi="Times New Roman"/>
                <w:color w:val="111111"/>
                <w:sz w:val="18"/>
              </w:rPr>
              <w:t>HPLC-MS/MS</w:t>
            </w:r>
          </w:p>
        </w:tc>
      </w:tr>
      <w:tr>
        <w:tc>
          <w:tcPr>
            <w:tcW w:type="dxa" w:w="1337"/>
          </w:tcPr>
          <w:p>
            <w:r/>
            <w:r>
              <w:rPr>
                <w:rFonts w:ascii="Times New Roman" w:hAnsi="Times New Roman"/>
                <w:color w:val="111111"/>
                <w:sz w:val="18"/>
              </w:rPr>
              <w:t>Morales et al. (AC)</w:t>
            </w:r>
          </w:p>
        </w:tc>
        <w:tc>
          <w:tcPr>
            <w:tcW w:type="dxa" w:w="1337"/>
          </w:tcPr>
          <w:p>
            <w:r/>
            <w:r>
              <w:rPr>
                <w:rFonts w:ascii="Times New Roman" w:hAnsi="Times New Roman"/>
                <w:color w:val="111111"/>
                <w:sz w:val="18"/>
              </w:rPr>
              <w:t>2015</w:t>
            </w:r>
          </w:p>
        </w:tc>
        <w:tc>
          <w:tcPr>
            <w:tcW w:type="dxa" w:w="1337"/>
          </w:tcPr>
          <w:p>
            <w:r/>
            <w:r>
              <w:rPr>
                <w:rFonts w:ascii="Times New Roman" w:hAnsi="Times New Roman"/>
                <w:color w:val="111111"/>
                <w:sz w:val="18"/>
              </w:rPr>
              <w:t>2,358</w:t>
            </w:r>
          </w:p>
        </w:tc>
        <w:tc>
          <w:tcPr>
            <w:tcW w:type="dxa" w:w="1337"/>
          </w:tcPr>
          <w:p>
            <w:r/>
            <w:r>
              <w:rPr>
                <w:rFonts w:ascii="Times New Roman" w:hAnsi="Times New Roman"/>
                <w:color w:val="111111"/>
                <w:sz w:val="18"/>
              </w:rPr>
              <w:t>1.14</w:t>
            </w:r>
          </w:p>
        </w:tc>
        <w:tc>
          <w:tcPr>
            <w:tcW w:type="dxa" w:w="1337"/>
          </w:tcPr>
          <w:p>
            <w:r/>
            <w:r>
              <w:rPr>
                <w:rFonts w:ascii="Times New Roman" w:hAnsi="Times New Roman"/>
                <w:color w:val="111111"/>
                <w:sz w:val="18"/>
              </w:rPr>
              <w:t>1.00–1.31</w:t>
            </w:r>
          </w:p>
        </w:tc>
        <w:tc>
          <w:tcPr>
            <w:tcW w:type="dxa" w:w="1337"/>
          </w:tcPr>
          <w:p>
            <w:r/>
            <w:r>
              <w:rPr>
                <w:rFonts w:ascii="Times New Roman" w:hAnsi="Times New Roman"/>
                <w:color w:val="111111"/>
                <w:sz w:val="18"/>
              </w:rPr>
              <w:t>AC &lt;10th centile</w:t>
            </w:r>
          </w:p>
        </w:tc>
        <w:tc>
          <w:tcPr>
            <w:tcW w:type="dxa" w:w="1337"/>
          </w:tcPr>
          <w:p>
            <w:r/>
            <w:r>
              <w:rPr>
                <w:rFonts w:ascii="Times New Roman" w:hAnsi="Times New Roman"/>
                <w:color w:val="111111"/>
                <w:sz w:val="18"/>
              </w:rPr>
              <w:t>HPLC</w:t>
            </w:r>
          </w:p>
        </w:tc>
      </w:tr>
      <w:tr>
        <w:tc>
          <w:tcPr>
            <w:tcW w:type="dxa" w:w="1337"/>
            <w:shd w:val="clear" w:color="auto" w:fill="F5F6F8"/>
          </w:tcPr>
          <w:p>
            <w:r/>
            <w:r>
              <w:rPr>
                <w:rFonts w:ascii="Times New Roman" w:hAnsi="Times New Roman"/>
                <w:color w:val="111111"/>
                <w:sz w:val="18"/>
              </w:rPr>
              <w:t>Morales et al. (EFW)</w:t>
            </w:r>
          </w:p>
        </w:tc>
        <w:tc>
          <w:tcPr>
            <w:tcW w:type="dxa" w:w="1337"/>
            <w:shd w:val="clear" w:color="auto" w:fill="F5F6F8"/>
          </w:tcPr>
          <w:p>
            <w:r/>
            <w:r>
              <w:rPr>
                <w:rFonts w:ascii="Times New Roman" w:hAnsi="Times New Roman"/>
                <w:color w:val="111111"/>
                <w:sz w:val="18"/>
              </w:rPr>
              <w:t>2015</w:t>
            </w:r>
          </w:p>
        </w:tc>
        <w:tc>
          <w:tcPr>
            <w:tcW w:type="dxa" w:w="1337"/>
            <w:shd w:val="clear" w:color="auto" w:fill="F5F6F8"/>
          </w:tcPr>
          <w:p>
            <w:r/>
            <w:r>
              <w:rPr>
                <w:rFonts w:ascii="Times New Roman" w:hAnsi="Times New Roman"/>
                <w:color w:val="111111"/>
                <w:sz w:val="18"/>
              </w:rPr>
              <w:t>2,358</w:t>
            </w:r>
          </w:p>
        </w:tc>
        <w:tc>
          <w:tcPr>
            <w:tcW w:type="dxa" w:w="1337"/>
            <w:shd w:val="clear" w:color="auto" w:fill="F5F6F8"/>
          </w:tcPr>
          <w:p>
            <w:r/>
            <w:r>
              <w:rPr>
                <w:rFonts w:ascii="Times New Roman" w:hAnsi="Times New Roman"/>
                <w:color w:val="111111"/>
                <w:sz w:val="18"/>
              </w:rPr>
              <w:t>1.18</w:t>
            </w:r>
          </w:p>
        </w:tc>
        <w:tc>
          <w:tcPr>
            <w:tcW w:type="dxa" w:w="1337"/>
            <w:shd w:val="clear" w:color="auto" w:fill="F5F6F8"/>
          </w:tcPr>
          <w:p>
            <w:r/>
            <w:r>
              <w:rPr>
                <w:rFonts w:ascii="Times New Roman" w:hAnsi="Times New Roman"/>
                <w:color w:val="111111"/>
                <w:sz w:val="18"/>
              </w:rPr>
              <w:t>1.03–1.36</w:t>
            </w:r>
          </w:p>
        </w:tc>
        <w:tc>
          <w:tcPr>
            <w:tcW w:type="dxa" w:w="1337"/>
            <w:shd w:val="clear" w:color="auto" w:fill="F5F6F8"/>
          </w:tcPr>
          <w:p>
            <w:r/>
            <w:r>
              <w:rPr>
                <w:rFonts w:ascii="Times New Roman" w:hAnsi="Times New Roman"/>
                <w:color w:val="111111"/>
                <w:sz w:val="18"/>
              </w:rPr>
              <w:t>EFW &lt;10th centile</w:t>
            </w:r>
          </w:p>
        </w:tc>
        <w:tc>
          <w:tcPr>
            <w:tcW w:type="dxa" w:w="1337"/>
            <w:shd w:val="clear" w:color="auto" w:fill="F5F6F8"/>
          </w:tcPr>
          <w:p>
            <w:r/>
            <w:r>
              <w:rPr>
                <w:rFonts w:ascii="Times New Roman" w:hAnsi="Times New Roman"/>
                <w:color w:val="111111"/>
                <w:sz w:val="18"/>
              </w:rPr>
              <w:t>HPLC</w:t>
            </w:r>
          </w:p>
        </w:tc>
      </w:tr>
    </w:tbl>
    <w:p/>
    <w:p>
      <w:pPr>
        <w:spacing w:before="240" w:after="120"/>
      </w:pPr>
      <w:r>
        <w:rPr>
          <w:rFonts w:ascii="Times New Roman" w:hAnsi="Times New Roman"/>
          <w:b/>
          <w:i w:val="0"/>
          <w:sz w:val="22"/>
        </w:rPr>
        <w:t xml:space="preserve">Table S5. </w:t>
      </w:r>
      <w:r>
        <w:rPr>
          <w:rFonts w:ascii="Times New Roman" w:hAnsi="Times New Roman"/>
          <w:b w:val="0"/>
          <w:i/>
          <w:sz w:val="22"/>
        </w:rPr>
        <w:t>JBI Critical Appraisal (Q1–Q9) and Newcastle–Ottawa Scale (NOS) quality scores for 24 observational studies. Y = Yes; N = No; U = Unclear. NOS ≥ 7 = high quality.</w:t>
      </w:r>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1A2E4A"/>
          </w:tcPr>
          <w:p>
            <w:r/>
            <w:r>
              <w:rPr>
                <w:rFonts w:ascii="Times New Roman" w:hAnsi="Times New Roman"/>
                <w:b/>
                <w:color w:val="FFFFFF"/>
                <w:sz w:val="16"/>
              </w:rPr>
              <w:t>Study</w:t>
            </w:r>
          </w:p>
        </w:tc>
        <w:tc>
          <w:tcPr>
            <w:tcW w:type="dxa" w:w="780"/>
            <w:shd w:val="clear" w:color="auto" w:fill="1A2E4A"/>
          </w:tcPr>
          <w:p>
            <w:r/>
            <w:r>
              <w:rPr>
                <w:rFonts w:ascii="Times New Roman" w:hAnsi="Times New Roman"/>
                <w:b/>
                <w:color w:val="FFFFFF"/>
                <w:sz w:val="16"/>
              </w:rPr>
              <w:t>Q1</w:t>
            </w:r>
          </w:p>
        </w:tc>
        <w:tc>
          <w:tcPr>
            <w:tcW w:type="dxa" w:w="780"/>
            <w:shd w:val="clear" w:color="auto" w:fill="1A2E4A"/>
          </w:tcPr>
          <w:p>
            <w:r/>
            <w:r>
              <w:rPr>
                <w:rFonts w:ascii="Times New Roman" w:hAnsi="Times New Roman"/>
                <w:b/>
                <w:color w:val="FFFFFF"/>
                <w:sz w:val="16"/>
              </w:rPr>
              <w:t>Q2</w:t>
            </w:r>
          </w:p>
        </w:tc>
        <w:tc>
          <w:tcPr>
            <w:tcW w:type="dxa" w:w="780"/>
            <w:shd w:val="clear" w:color="auto" w:fill="1A2E4A"/>
          </w:tcPr>
          <w:p>
            <w:r/>
            <w:r>
              <w:rPr>
                <w:rFonts w:ascii="Times New Roman" w:hAnsi="Times New Roman"/>
                <w:b/>
                <w:color w:val="FFFFFF"/>
                <w:sz w:val="16"/>
              </w:rPr>
              <w:t>Q3</w:t>
            </w:r>
          </w:p>
        </w:tc>
        <w:tc>
          <w:tcPr>
            <w:tcW w:type="dxa" w:w="780"/>
            <w:shd w:val="clear" w:color="auto" w:fill="1A2E4A"/>
          </w:tcPr>
          <w:p>
            <w:r/>
            <w:r>
              <w:rPr>
                <w:rFonts w:ascii="Times New Roman" w:hAnsi="Times New Roman"/>
                <w:b/>
                <w:color w:val="FFFFFF"/>
                <w:sz w:val="16"/>
              </w:rPr>
              <w:t>Q4</w:t>
            </w:r>
          </w:p>
        </w:tc>
        <w:tc>
          <w:tcPr>
            <w:tcW w:type="dxa" w:w="780"/>
            <w:shd w:val="clear" w:color="auto" w:fill="1A2E4A"/>
          </w:tcPr>
          <w:p>
            <w:r/>
            <w:r>
              <w:rPr>
                <w:rFonts w:ascii="Times New Roman" w:hAnsi="Times New Roman"/>
                <w:b/>
                <w:color w:val="FFFFFF"/>
                <w:sz w:val="16"/>
              </w:rPr>
              <w:t>Q5</w:t>
            </w:r>
          </w:p>
        </w:tc>
        <w:tc>
          <w:tcPr>
            <w:tcW w:type="dxa" w:w="780"/>
            <w:shd w:val="clear" w:color="auto" w:fill="1A2E4A"/>
          </w:tcPr>
          <w:p>
            <w:r/>
            <w:r>
              <w:rPr>
                <w:rFonts w:ascii="Times New Roman" w:hAnsi="Times New Roman"/>
                <w:b/>
                <w:color w:val="FFFFFF"/>
                <w:sz w:val="16"/>
              </w:rPr>
              <w:t>Q6</w:t>
            </w:r>
          </w:p>
        </w:tc>
        <w:tc>
          <w:tcPr>
            <w:tcW w:type="dxa" w:w="780"/>
            <w:shd w:val="clear" w:color="auto" w:fill="1A2E4A"/>
          </w:tcPr>
          <w:p>
            <w:r/>
            <w:r>
              <w:rPr>
                <w:rFonts w:ascii="Times New Roman" w:hAnsi="Times New Roman"/>
                <w:b/>
                <w:color w:val="FFFFFF"/>
                <w:sz w:val="16"/>
              </w:rPr>
              <w:t>Q7</w:t>
            </w:r>
          </w:p>
        </w:tc>
        <w:tc>
          <w:tcPr>
            <w:tcW w:type="dxa" w:w="780"/>
            <w:shd w:val="clear" w:color="auto" w:fill="1A2E4A"/>
          </w:tcPr>
          <w:p>
            <w:r/>
            <w:r>
              <w:rPr>
                <w:rFonts w:ascii="Times New Roman" w:hAnsi="Times New Roman"/>
                <w:b/>
                <w:color w:val="FFFFFF"/>
                <w:sz w:val="16"/>
              </w:rPr>
              <w:t>Q8</w:t>
            </w:r>
          </w:p>
        </w:tc>
        <w:tc>
          <w:tcPr>
            <w:tcW w:type="dxa" w:w="780"/>
            <w:shd w:val="clear" w:color="auto" w:fill="1A2E4A"/>
          </w:tcPr>
          <w:p>
            <w:r/>
            <w:r>
              <w:rPr>
                <w:rFonts w:ascii="Times New Roman" w:hAnsi="Times New Roman"/>
                <w:b/>
                <w:color w:val="FFFFFF"/>
                <w:sz w:val="16"/>
              </w:rPr>
              <w:t>Q9</w:t>
            </w:r>
          </w:p>
        </w:tc>
        <w:tc>
          <w:tcPr>
            <w:tcW w:type="dxa" w:w="780"/>
            <w:shd w:val="clear" w:color="auto" w:fill="1A2E4A"/>
          </w:tcPr>
          <w:p>
            <w:r/>
            <w:r>
              <w:rPr>
                <w:rFonts w:ascii="Times New Roman" w:hAnsi="Times New Roman"/>
                <w:b/>
                <w:color w:val="FFFFFF"/>
                <w:sz w:val="16"/>
              </w:rPr>
              <w:t>JBI</w:t>
            </w:r>
          </w:p>
        </w:tc>
        <w:tc>
          <w:tcPr>
            <w:tcW w:type="dxa" w:w="780"/>
            <w:shd w:val="clear" w:color="auto" w:fill="1A2E4A"/>
          </w:tcPr>
          <w:p>
            <w:r/>
            <w:r>
              <w:rPr>
                <w:rFonts w:ascii="Times New Roman" w:hAnsi="Times New Roman"/>
                <w:b/>
                <w:color w:val="FFFFFF"/>
                <w:sz w:val="16"/>
              </w:rPr>
              <w:t>NOS</w:t>
            </w:r>
          </w:p>
        </w:tc>
      </w:tr>
      <w:tr>
        <w:tc>
          <w:tcPr>
            <w:tcW w:type="dxa" w:w="780"/>
          </w:tcPr>
          <w:p>
            <w:r/>
            <w:r>
              <w:rPr>
                <w:rFonts w:ascii="Times New Roman" w:hAnsi="Times New Roman"/>
                <w:color w:val="111111"/>
                <w:sz w:val="16"/>
              </w:rPr>
              <w:t>Tosun 2025</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9</w:t>
            </w:r>
          </w:p>
        </w:tc>
        <w:tc>
          <w:tcPr>
            <w:tcW w:type="dxa" w:w="780"/>
          </w:tcPr>
          <w:p>
            <w:r/>
            <w:r>
              <w:rPr>
                <w:rFonts w:ascii="Times New Roman" w:hAnsi="Times New Roman"/>
                <w:color w:val="111111"/>
                <w:sz w:val="16"/>
              </w:rPr>
              <w:t>7</w:t>
            </w:r>
          </w:p>
        </w:tc>
      </w:tr>
      <w:tr>
        <w:tc>
          <w:tcPr>
            <w:tcW w:type="dxa" w:w="780"/>
            <w:shd w:val="clear" w:color="auto" w:fill="F5F6F8"/>
          </w:tcPr>
          <w:p>
            <w:r/>
            <w:r>
              <w:rPr>
                <w:rFonts w:ascii="Times New Roman" w:hAnsi="Times New Roman"/>
                <w:color w:val="111111"/>
                <w:sz w:val="16"/>
              </w:rPr>
              <w:t>Miliku 2016</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11</w:t>
            </w:r>
          </w:p>
        </w:tc>
        <w:tc>
          <w:tcPr>
            <w:tcW w:type="dxa" w:w="780"/>
            <w:shd w:val="clear" w:color="auto" w:fill="F5F6F8"/>
          </w:tcPr>
          <w:p>
            <w:r/>
            <w:r>
              <w:rPr>
                <w:rFonts w:ascii="Times New Roman" w:hAnsi="Times New Roman"/>
                <w:color w:val="111111"/>
                <w:sz w:val="16"/>
              </w:rPr>
              <w:t>9</w:t>
            </w:r>
          </w:p>
        </w:tc>
      </w:tr>
      <w:tr>
        <w:tc>
          <w:tcPr>
            <w:tcW w:type="dxa" w:w="780"/>
          </w:tcPr>
          <w:p>
            <w:r/>
            <w:r>
              <w:rPr>
                <w:rFonts w:ascii="Times New Roman" w:hAnsi="Times New Roman"/>
                <w:color w:val="111111"/>
                <w:sz w:val="16"/>
              </w:rPr>
              <w:t>Mahon 2010</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9</w:t>
            </w:r>
          </w:p>
        </w:tc>
        <w:tc>
          <w:tcPr>
            <w:tcW w:type="dxa" w:w="780"/>
          </w:tcPr>
          <w:p>
            <w:r/>
            <w:r>
              <w:rPr>
                <w:rFonts w:ascii="Times New Roman" w:hAnsi="Times New Roman"/>
                <w:color w:val="111111"/>
                <w:sz w:val="16"/>
              </w:rPr>
              <w:t>8</w:t>
            </w:r>
          </w:p>
        </w:tc>
      </w:tr>
      <w:tr>
        <w:tc>
          <w:tcPr>
            <w:tcW w:type="dxa" w:w="780"/>
            <w:shd w:val="clear" w:color="auto" w:fill="F5F6F8"/>
          </w:tcPr>
          <w:p>
            <w:r/>
            <w:r>
              <w:rPr>
                <w:rFonts w:ascii="Times New Roman" w:hAnsi="Times New Roman"/>
                <w:color w:val="111111"/>
                <w:sz w:val="16"/>
              </w:rPr>
              <w:t>Wierzejska 2020</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6</w:t>
            </w:r>
          </w:p>
        </w:tc>
        <w:tc>
          <w:tcPr>
            <w:tcW w:type="dxa" w:w="780"/>
            <w:shd w:val="clear" w:color="auto" w:fill="F5F6F8"/>
          </w:tcPr>
          <w:p>
            <w:r/>
            <w:r>
              <w:rPr>
                <w:rFonts w:ascii="Times New Roman" w:hAnsi="Times New Roman"/>
                <w:color w:val="111111"/>
                <w:sz w:val="16"/>
              </w:rPr>
              <w:t>5</w:t>
            </w:r>
          </w:p>
        </w:tc>
      </w:tr>
      <w:tr>
        <w:tc>
          <w:tcPr>
            <w:tcW w:type="dxa" w:w="780"/>
          </w:tcPr>
          <w:p>
            <w:r/>
            <w:r>
              <w:rPr>
                <w:rFonts w:ascii="Times New Roman" w:hAnsi="Times New Roman"/>
                <w:color w:val="111111"/>
                <w:sz w:val="16"/>
              </w:rPr>
              <w:t>Ioannou 2012</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9</w:t>
            </w:r>
          </w:p>
        </w:tc>
        <w:tc>
          <w:tcPr>
            <w:tcW w:type="dxa" w:w="780"/>
          </w:tcPr>
          <w:p>
            <w:r/>
            <w:r>
              <w:rPr>
                <w:rFonts w:ascii="Times New Roman" w:hAnsi="Times New Roman"/>
                <w:color w:val="111111"/>
                <w:sz w:val="16"/>
              </w:rPr>
              <w:t>8</w:t>
            </w:r>
          </w:p>
        </w:tc>
      </w:tr>
      <w:tr>
        <w:tc>
          <w:tcPr>
            <w:tcW w:type="dxa" w:w="780"/>
            <w:shd w:val="clear" w:color="auto" w:fill="F5F6F8"/>
          </w:tcPr>
          <w:p>
            <w:r/>
            <w:r>
              <w:rPr>
                <w:rFonts w:ascii="Times New Roman" w:hAnsi="Times New Roman"/>
                <w:color w:val="111111"/>
                <w:sz w:val="16"/>
              </w:rPr>
              <w:t>Liu 2020</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9</w:t>
            </w:r>
          </w:p>
        </w:tc>
        <w:tc>
          <w:tcPr>
            <w:tcW w:type="dxa" w:w="780"/>
            <w:shd w:val="clear" w:color="auto" w:fill="F5F6F8"/>
          </w:tcPr>
          <w:p>
            <w:r/>
            <w:r>
              <w:rPr>
                <w:rFonts w:ascii="Times New Roman" w:hAnsi="Times New Roman"/>
                <w:color w:val="111111"/>
                <w:sz w:val="16"/>
              </w:rPr>
              <w:t>8</w:t>
            </w:r>
          </w:p>
        </w:tc>
      </w:tr>
      <w:tr>
        <w:tc>
          <w:tcPr>
            <w:tcW w:type="dxa" w:w="780"/>
          </w:tcPr>
          <w:p>
            <w:r/>
            <w:r>
              <w:rPr>
                <w:rFonts w:ascii="Times New Roman" w:hAnsi="Times New Roman"/>
                <w:color w:val="111111"/>
                <w:sz w:val="16"/>
              </w:rPr>
              <w:t>Lee D.H. 2015</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9</w:t>
            </w:r>
          </w:p>
        </w:tc>
        <w:tc>
          <w:tcPr>
            <w:tcW w:type="dxa" w:w="780"/>
          </w:tcPr>
          <w:p>
            <w:r/>
            <w:r>
              <w:rPr>
                <w:rFonts w:ascii="Times New Roman" w:hAnsi="Times New Roman"/>
                <w:color w:val="111111"/>
                <w:sz w:val="16"/>
              </w:rPr>
              <w:t>7</w:t>
            </w:r>
          </w:p>
        </w:tc>
      </w:tr>
      <w:tr>
        <w:tc>
          <w:tcPr>
            <w:tcW w:type="dxa" w:w="780"/>
            <w:shd w:val="clear" w:color="auto" w:fill="F5F6F8"/>
          </w:tcPr>
          <w:p>
            <w:r/>
            <w:r>
              <w:rPr>
                <w:rFonts w:ascii="Times New Roman" w:hAnsi="Times New Roman"/>
                <w:color w:val="111111"/>
                <w:sz w:val="16"/>
              </w:rPr>
              <w:t>Beck 2025</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11</w:t>
            </w:r>
          </w:p>
        </w:tc>
        <w:tc>
          <w:tcPr>
            <w:tcW w:type="dxa" w:w="780"/>
            <w:shd w:val="clear" w:color="auto" w:fill="F5F6F8"/>
          </w:tcPr>
          <w:p>
            <w:r/>
            <w:r>
              <w:rPr>
                <w:rFonts w:ascii="Times New Roman" w:hAnsi="Times New Roman"/>
                <w:color w:val="111111"/>
                <w:sz w:val="16"/>
              </w:rPr>
              <w:t>8</w:t>
            </w:r>
          </w:p>
        </w:tc>
      </w:tr>
      <w:tr>
        <w:tc>
          <w:tcPr>
            <w:tcW w:type="dxa" w:w="780"/>
          </w:tcPr>
          <w:p>
            <w:r/>
            <w:r>
              <w:rPr>
                <w:rFonts w:ascii="Times New Roman" w:hAnsi="Times New Roman"/>
                <w:color w:val="111111"/>
                <w:sz w:val="16"/>
              </w:rPr>
              <w:t>Vestergaard 2021</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9</w:t>
            </w:r>
          </w:p>
        </w:tc>
        <w:tc>
          <w:tcPr>
            <w:tcW w:type="dxa" w:w="780"/>
          </w:tcPr>
          <w:p>
            <w:r/>
            <w:r>
              <w:rPr>
                <w:rFonts w:ascii="Times New Roman" w:hAnsi="Times New Roman"/>
                <w:color w:val="111111"/>
                <w:sz w:val="16"/>
              </w:rPr>
              <w:t>7</w:t>
            </w:r>
          </w:p>
        </w:tc>
      </w:tr>
      <w:tr>
        <w:tc>
          <w:tcPr>
            <w:tcW w:type="dxa" w:w="780"/>
            <w:shd w:val="clear" w:color="auto" w:fill="F5F6F8"/>
          </w:tcPr>
          <w:p>
            <w:r/>
            <w:r>
              <w:rPr>
                <w:rFonts w:ascii="Times New Roman" w:hAnsi="Times New Roman"/>
                <w:color w:val="111111"/>
                <w:sz w:val="16"/>
              </w:rPr>
              <w:t>Park 2014</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11</w:t>
            </w:r>
          </w:p>
        </w:tc>
        <w:tc>
          <w:tcPr>
            <w:tcW w:type="dxa" w:w="780"/>
            <w:shd w:val="clear" w:color="auto" w:fill="F5F6F8"/>
          </w:tcPr>
          <w:p>
            <w:r/>
            <w:r>
              <w:rPr>
                <w:rFonts w:ascii="Times New Roman" w:hAnsi="Times New Roman"/>
                <w:color w:val="111111"/>
                <w:sz w:val="16"/>
              </w:rPr>
              <w:t>8</w:t>
            </w:r>
          </w:p>
        </w:tc>
      </w:tr>
      <w:tr>
        <w:tc>
          <w:tcPr>
            <w:tcW w:type="dxa" w:w="780"/>
          </w:tcPr>
          <w:p>
            <w:r/>
            <w:r>
              <w:rPr>
                <w:rFonts w:ascii="Times New Roman" w:hAnsi="Times New Roman"/>
                <w:color w:val="111111"/>
                <w:sz w:val="16"/>
              </w:rPr>
              <w:t>Young 2012</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11</w:t>
            </w:r>
          </w:p>
        </w:tc>
        <w:tc>
          <w:tcPr>
            <w:tcW w:type="dxa" w:w="780"/>
          </w:tcPr>
          <w:p>
            <w:r/>
            <w:r>
              <w:rPr>
                <w:rFonts w:ascii="Times New Roman" w:hAnsi="Times New Roman"/>
                <w:color w:val="111111"/>
                <w:sz w:val="16"/>
              </w:rPr>
              <w:t>8</w:t>
            </w:r>
          </w:p>
        </w:tc>
      </w:tr>
      <w:tr>
        <w:tc>
          <w:tcPr>
            <w:tcW w:type="dxa" w:w="780"/>
            <w:shd w:val="clear" w:color="auto" w:fill="F5F6F8"/>
          </w:tcPr>
          <w:p>
            <w:r/>
            <w:r>
              <w:rPr>
                <w:rFonts w:ascii="Times New Roman" w:hAnsi="Times New Roman"/>
                <w:color w:val="111111"/>
                <w:sz w:val="16"/>
              </w:rPr>
              <w:t>Morales 2015</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11</w:t>
            </w:r>
          </w:p>
        </w:tc>
        <w:tc>
          <w:tcPr>
            <w:tcW w:type="dxa" w:w="780"/>
            <w:shd w:val="clear" w:color="auto" w:fill="F5F6F8"/>
          </w:tcPr>
          <w:p>
            <w:r/>
            <w:r>
              <w:rPr>
                <w:rFonts w:ascii="Times New Roman" w:hAnsi="Times New Roman"/>
                <w:color w:val="111111"/>
                <w:sz w:val="16"/>
              </w:rPr>
              <w:t>8</w:t>
            </w:r>
          </w:p>
        </w:tc>
      </w:tr>
      <w:tr>
        <w:tc>
          <w:tcPr>
            <w:tcW w:type="dxa" w:w="780"/>
          </w:tcPr>
          <w:p>
            <w:r/>
            <w:r>
              <w:rPr>
                <w:rFonts w:ascii="Times New Roman" w:hAnsi="Times New Roman"/>
                <w:color w:val="111111"/>
                <w:sz w:val="16"/>
              </w:rPr>
              <w:t>Akita 2025</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11</w:t>
            </w:r>
          </w:p>
        </w:tc>
        <w:tc>
          <w:tcPr>
            <w:tcW w:type="dxa" w:w="780"/>
          </w:tcPr>
          <w:p>
            <w:r/>
            <w:r>
              <w:rPr>
                <w:rFonts w:ascii="Times New Roman" w:hAnsi="Times New Roman"/>
                <w:color w:val="111111"/>
                <w:sz w:val="16"/>
              </w:rPr>
              <w:t>7</w:t>
            </w:r>
          </w:p>
        </w:tc>
      </w:tr>
      <w:tr>
        <w:tc>
          <w:tcPr>
            <w:tcW w:type="dxa" w:w="780"/>
            <w:shd w:val="clear" w:color="auto" w:fill="F5F6F8"/>
          </w:tcPr>
          <w:p>
            <w:r/>
            <w:r>
              <w:rPr>
                <w:rFonts w:ascii="Times New Roman" w:hAnsi="Times New Roman"/>
                <w:color w:val="111111"/>
                <w:sz w:val="16"/>
              </w:rPr>
              <w:t>Ge 2024</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5</w:t>
            </w:r>
          </w:p>
        </w:tc>
        <w:tc>
          <w:tcPr>
            <w:tcW w:type="dxa" w:w="780"/>
            <w:shd w:val="clear" w:color="auto" w:fill="F5F6F8"/>
          </w:tcPr>
          <w:p>
            <w:r/>
            <w:r>
              <w:rPr>
                <w:rFonts w:ascii="Times New Roman" w:hAnsi="Times New Roman"/>
                <w:color w:val="111111"/>
                <w:sz w:val="16"/>
              </w:rPr>
              <w:t>5</w:t>
            </w:r>
          </w:p>
        </w:tc>
      </w:tr>
      <w:tr>
        <w:tc>
          <w:tcPr>
            <w:tcW w:type="dxa" w:w="780"/>
          </w:tcPr>
          <w:p>
            <w:r/>
            <w:r>
              <w:rPr>
                <w:rFonts w:ascii="Times New Roman" w:hAnsi="Times New Roman"/>
                <w:color w:val="111111"/>
                <w:sz w:val="16"/>
              </w:rPr>
              <w:t>Lee S.B. 2023</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7</w:t>
            </w:r>
          </w:p>
        </w:tc>
        <w:tc>
          <w:tcPr>
            <w:tcW w:type="dxa" w:w="780"/>
          </w:tcPr>
          <w:p>
            <w:r/>
            <w:r>
              <w:rPr>
                <w:rFonts w:ascii="Times New Roman" w:hAnsi="Times New Roman"/>
                <w:color w:val="111111"/>
                <w:sz w:val="16"/>
              </w:rPr>
              <w:t>6</w:t>
            </w:r>
          </w:p>
        </w:tc>
      </w:tr>
      <w:tr>
        <w:tc>
          <w:tcPr>
            <w:tcW w:type="dxa" w:w="780"/>
            <w:shd w:val="clear" w:color="auto" w:fill="F5F6F8"/>
          </w:tcPr>
          <w:p>
            <w:r/>
            <w:r>
              <w:rPr>
                <w:rFonts w:ascii="Times New Roman" w:hAnsi="Times New Roman"/>
                <w:color w:val="111111"/>
                <w:sz w:val="16"/>
              </w:rPr>
              <w:t>Kwon 2023</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9</w:t>
            </w:r>
          </w:p>
        </w:tc>
        <w:tc>
          <w:tcPr>
            <w:tcW w:type="dxa" w:w="780"/>
            <w:shd w:val="clear" w:color="auto" w:fill="F5F6F8"/>
          </w:tcPr>
          <w:p>
            <w:r/>
            <w:r>
              <w:rPr>
                <w:rFonts w:ascii="Times New Roman" w:hAnsi="Times New Roman"/>
                <w:color w:val="111111"/>
                <w:sz w:val="16"/>
              </w:rPr>
              <w:t>6</w:t>
            </w:r>
          </w:p>
        </w:tc>
      </w:tr>
      <w:tr>
        <w:tc>
          <w:tcPr>
            <w:tcW w:type="dxa" w:w="780"/>
          </w:tcPr>
          <w:p>
            <w:r/>
            <w:r>
              <w:rPr>
                <w:rFonts w:ascii="Times New Roman" w:hAnsi="Times New Roman"/>
                <w:color w:val="111111"/>
                <w:sz w:val="16"/>
              </w:rPr>
              <w:t>Palmrich 2023</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11</w:t>
            </w:r>
          </w:p>
        </w:tc>
        <w:tc>
          <w:tcPr>
            <w:tcW w:type="dxa" w:w="780"/>
          </w:tcPr>
          <w:p>
            <w:r/>
            <w:r>
              <w:rPr>
                <w:rFonts w:ascii="Times New Roman" w:hAnsi="Times New Roman"/>
                <w:color w:val="111111"/>
                <w:sz w:val="16"/>
              </w:rPr>
              <w:t>8</w:t>
            </w:r>
          </w:p>
        </w:tc>
      </w:tr>
      <w:tr>
        <w:tc>
          <w:tcPr>
            <w:tcW w:type="dxa" w:w="780"/>
            <w:shd w:val="clear" w:color="auto" w:fill="F5F6F8"/>
          </w:tcPr>
          <w:p>
            <w:r/>
            <w:r>
              <w:rPr>
                <w:rFonts w:ascii="Times New Roman" w:hAnsi="Times New Roman"/>
                <w:color w:val="111111"/>
                <w:sz w:val="16"/>
              </w:rPr>
              <w:t>Mahfod 2022</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6</w:t>
            </w:r>
          </w:p>
        </w:tc>
        <w:tc>
          <w:tcPr>
            <w:tcW w:type="dxa" w:w="780"/>
            <w:shd w:val="clear" w:color="auto" w:fill="F5F6F8"/>
          </w:tcPr>
          <w:p>
            <w:r/>
            <w:r>
              <w:rPr>
                <w:rFonts w:ascii="Times New Roman" w:hAnsi="Times New Roman"/>
                <w:color w:val="111111"/>
                <w:sz w:val="16"/>
              </w:rPr>
              <w:t>6</w:t>
            </w:r>
          </w:p>
        </w:tc>
      </w:tr>
      <w:tr>
        <w:tc>
          <w:tcPr>
            <w:tcW w:type="dxa" w:w="780"/>
          </w:tcPr>
          <w:p>
            <w:r/>
            <w:r>
              <w:rPr>
                <w:rFonts w:ascii="Times New Roman" w:hAnsi="Times New Roman"/>
                <w:color w:val="111111"/>
                <w:sz w:val="16"/>
              </w:rPr>
              <w:t>Marcal 2021</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7</w:t>
            </w:r>
          </w:p>
        </w:tc>
        <w:tc>
          <w:tcPr>
            <w:tcW w:type="dxa" w:w="780"/>
          </w:tcPr>
          <w:p>
            <w:r/>
            <w:r>
              <w:rPr>
                <w:rFonts w:ascii="Times New Roman" w:hAnsi="Times New Roman"/>
                <w:color w:val="111111"/>
                <w:sz w:val="16"/>
              </w:rPr>
              <w:t>5</w:t>
            </w:r>
          </w:p>
        </w:tc>
      </w:tr>
      <w:tr>
        <w:tc>
          <w:tcPr>
            <w:tcW w:type="dxa" w:w="780"/>
            <w:shd w:val="clear" w:color="auto" w:fill="F5F6F8"/>
          </w:tcPr>
          <w:p>
            <w:r/>
            <w:r>
              <w:rPr>
                <w:rFonts w:ascii="Times New Roman" w:hAnsi="Times New Roman"/>
                <w:color w:val="111111"/>
                <w:sz w:val="16"/>
              </w:rPr>
              <w:t>Baqai 2020</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N</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4</w:t>
            </w:r>
          </w:p>
        </w:tc>
        <w:tc>
          <w:tcPr>
            <w:tcW w:type="dxa" w:w="780"/>
            <w:shd w:val="clear" w:color="auto" w:fill="F5F6F8"/>
          </w:tcPr>
          <w:p>
            <w:r/>
            <w:r>
              <w:rPr>
                <w:rFonts w:ascii="Times New Roman" w:hAnsi="Times New Roman"/>
                <w:color w:val="111111"/>
                <w:sz w:val="16"/>
              </w:rPr>
              <w:t>5</w:t>
            </w:r>
          </w:p>
        </w:tc>
      </w:tr>
      <w:tr>
        <w:tc>
          <w:tcPr>
            <w:tcW w:type="dxa" w:w="780"/>
          </w:tcPr>
          <w:p>
            <w:r/>
            <w:r>
              <w:rPr>
                <w:rFonts w:ascii="Times New Roman" w:hAnsi="Times New Roman"/>
                <w:color w:val="111111"/>
                <w:sz w:val="16"/>
              </w:rPr>
              <w:t>Alimohammadi 2020</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N</w:t>
            </w:r>
          </w:p>
        </w:tc>
        <w:tc>
          <w:tcPr>
            <w:tcW w:type="dxa" w:w="780"/>
          </w:tcPr>
          <w:p>
            <w:r/>
            <w:r>
              <w:rPr>
                <w:rFonts w:ascii="Times New Roman" w:hAnsi="Times New Roman"/>
                <w:color w:val="111111"/>
                <w:sz w:val="16"/>
              </w:rPr>
              <w:t>U</w:t>
            </w:r>
          </w:p>
        </w:tc>
        <w:tc>
          <w:tcPr>
            <w:tcW w:type="dxa" w:w="780"/>
          </w:tcPr>
          <w:p>
            <w:r/>
            <w:r>
              <w:rPr>
                <w:rFonts w:ascii="Times New Roman" w:hAnsi="Times New Roman"/>
                <w:color w:val="111111"/>
                <w:sz w:val="16"/>
              </w:rPr>
              <w:t>5</w:t>
            </w:r>
          </w:p>
        </w:tc>
        <w:tc>
          <w:tcPr>
            <w:tcW w:type="dxa" w:w="780"/>
          </w:tcPr>
          <w:p>
            <w:r/>
            <w:r>
              <w:rPr>
                <w:rFonts w:ascii="Times New Roman" w:hAnsi="Times New Roman"/>
                <w:color w:val="111111"/>
                <w:sz w:val="16"/>
              </w:rPr>
              <w:t>6</w:t>
            </w:r>
          </w:p>
        </w:tc>
      </w:tr>
      <w:tr>
        <w:tc>
          <w:tcPr>
            <w:tcW w:type="dxa" w:w="780"/>
            <w:shd w:val="clear" w:color="auto" w:fill="F5F6F8"/>
          </w:tcPr>
          <w:p>
            <w:r/>
            <w:r>
              <w:rPr>
                <w:rFonts w:ascii="Times New Roman" w:hAnsi="Times New Roman"/>
                <w:color w:val="111111"/>
                <w:sz w:val="16"/>
              </w:rPr>
              <w:t>Judistiani 2019</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U</w:t>
            </w:r>
          </w:p>
        </w:tc>
        <w:tc>
          <w:tcPr>
            <w:tcW w:type="dxa" w:w="780"/>
            <w:shd w:val="clear" w:color="auto" w:fill="F5F6F8"/>
          </w:tcPr>
          <w:p>
            <w:r/>
            <w:r>
              <w:rPr>
                <w:rFonts w:ascii="Times New Roman" w:hAnsi="Times New Roman"/>
                <w:color w:val="111111"/>
                <w:sz w:val="16"/>
              </w:rPr>
              <w:t>9</w:t>
            </w:r>
          </w:p>
        </w:tc>
        <w:tc>
          <w:tcPr>
            <w:tcW w:type="dxa" w:w="780"/>
            <w:shd w:val="clear" w:color="auto" w:fill="F5F6F8"/>
          </w:tcPr>
          <w:p>
            <w:r/>
            <w:r>
              <w:rPr>
                <w:rFonts w:ascii="Times New Roman" w:hAnsi="Times New Roman"/>
                <w:color w:val="111111"/>
                <w:sz w:val="16"/>
              </w:rPr>
              <w:t>7</w:t>
            </w:r>
          </w:p>
        </w:tc>
      </w:tr>
      <w:tr>
        <w:tc>
          <w:tcPr>
            <w:tcW w:type="dxa" w:w="780"/>
          </w:tcPr>
          <w:p>
            <w:r/>
            <w:r>
              <w:rPr>
                <w:rFonts w:ascii="Times New Roman" w:hAnsi="Times New Roman"/>
                <w:color w:val="111111"/>
                <w:sz w:val="16"/>
              </w:rPr>
              <w:t>Gernand 2014</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Y</w:t>
            </w:r>
          </w:p>
        </w:tc>
        <w:tc>
          <w:tcPr>
            <w:tcW w:type="dxa" w:w="780"/>
          </w:tcPr>
          <w:p>
            <w:r/>
            <w:r>
              <w:rPr>
                <w:rFonts w:ascii="Times New Roman" w:hAnsi="Times New Roman"/>
                <w:color w:val="111111"/>
                <w:sz w:val="16"/>
              </w:rPr>
              <w:t>11</w:t>
            </w:r>
          </w:p>
        </w:tc>
        <w:tc>
          <w:tcPr>
            <w:tcW w:type="dxa" w:w="780"/>
          </w:tcPr>
          <w:p>
            <w:r/>
            <w:r>
              <w:rPr>
                <w:rFonts w:ascii="Times New Roman" w:hAnsi="Times New Roman"/>
                <w:color w:val="111111"/>
                <w:sz w:val="16"/>
              </w:rPr>
              <w:t>8</w:t>
            </w:r>
          </w:p>
        </w:tc>
      </w:tr>
      <w:tr>
        <w:tc>
          <w:tcPr>
            <w:tcW w:type="dxa" w:w="780"/>
            <w:shd w:val="clear" w:color="auto" w:fill="F5F6F8"/>
          </w:tcPr>
          <w:p>
            <w:r/>
            <w:r>
              <w:rPr>
                <w:rFonts w:ascii="Times New Roman" w:hAnsi="Times New Roman"/>
                <w:color w:val="111111"/>
                <w:sz w:val="16"/>
              </w:rPr>
              <w:t>Fernández-Alonso 2011</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Y</w:t>
            </w:r>
          </w:p>
        </w:tc>
        <w:tc>
          <w:tcPr>
            <w:tcW w:type="dxa" w:w="780"/>
            <w:shd w:val="clear" w:color="auto" w:fill="F5F6F8"/>
          </w:tcPr>
          <w:p>
            <w:r/>
            <w:r>
              <w:rPr>
                <w:rFonts w:ascii="Times New Roman" w:hAnsi="Times New Roman"/>
                <w:color w:val="111111"/>
                <w:sz w:val="16"/>
              </w:rPr>
              <w:t>11</w:t>
            </w:r>
          </w:p>
        </w:tc>
        <w:tc>
          <w:tcPr>
            <w:tcW w:type="dxa" w:w="780"/>
            <w:shd w:val="clear" w:color="auto" w:fill="F5F6F8"/>
          </w:tcPr>
          <w:p>
            <w:r/>
            <w:r>
              <w:rPr>
                <w:rFonts w:ascii="Times New Roman" w:hAnsi="Times New Roman"/>
                <w:color w:val="111111"/>
                <w:sz w:val="16"/>
              </w:rPr>
              <w:t>5</w:t>
            </w:r>
          </w:p>
        </w:tc>
      </w:tr>
    </w:tbl>
    <w:p/>
    <w:p>
      <w:r>
        <w:br w:type="page"/>
      </w:r>
    </w:p>
    <w:p>
      <w:pPr>
        <w:pStyle w:val="Heading2"/>
      </w:pPr>
      <w:r>
        <w:rPr>
          <w:rFonts w:ascii="Times New Roman" w:hAnsi="Times New Roman"/>
          <w:color w:val="1A2E4A"/>
        </w:rPr>
        <w:t>Supplementary Figures</w:t>
      </w:r>
    </w:p>
    <w:p>
      <w:pPr>
        <w:jc w:val="center"/>
      </w:pPr>
      <w:r>
        <w:drawing>
          <wp:inline xmlns:a="http://schemas.openxmlformats.org/drawingml/2006/main" xmlns:pic="http://schemas.openxmlformats.org/drawingml/2006/picture">
            <wp:extent cx="5943600" cy="4457700"/>
            <wp:docPr id="6" name="Picture 6"/>
            <wp:cNvGraphicFramePr>
              <a:graphicFrameLocks noChangeAspect="1"/>
            </wp:cNvGraphicFramePr>
            <a:graphic>
              <a:graphicData uri="http://schemas.openxmlformats.org/drawingml/2006/picture">
                <pic:pic>
                  <pic:nvPicPr>
                    <pic:cNvPr id="0" name="StudyCharacteristics.png"/>
                    <pic:cNvPicPr/>
                  </pic:nvPicPr>
                  <pic:blipFill>
                    <a:blip r:embed="rId14"/>
                    <a:stretch>
                      <a:fillRect/>
                    </a:stretch>
                  </pic:blipFill>
                  <pic:spPr>
                    <a:xfrm>
                      <a:off x="0" y="0"/>
                      <a:ext cx="5943600" cy="4457700"/>
                    </a:xfrm>
                    <a:prstGeom prst="rect"/>
                  </pic:spPr>
                </pic:pic>
              </a:graphicData>
            </a:graphic>
          </wp:inline>
        </w:drawing>
      </w:r>
    </w:p>
    <w:p>
      <w:pPr>
        <w:spacing w:before="120" w:after="320"/>
        <w:jc w:val="left"/>
      </w:pPr>
      <w:r>
        <w:rPr>
          <w:rFonts w:ascii="Times New Roman" w:hAnsi="Times New Roman"/>
          <w:b/>
          <w:i w:val="0"/>
          <w:sz w:val="22"/>
        </w:rPr>
        <w:t xml:space="preserve">Figure S1. </w:t>
      </w:r>
      <w:r>
        <w:rPr>
          <w:rFonts w:ascii="Times New Roman" w:hAnsi="Times New Roman"/>
          <w:b w:val="0"/>
          <w:i/>
          <w:sz w:val="22"/>
        </w:rPr>
        <w:t>Characteristics of included studies (k = 26): (a) study design, (b) publication timeline, (c) geographic distribution, (d) methodological quality (NOS).</w:t>
      </w:r>
    </w:p>
    <w:p>
      <w:pPr>
        <w:jc w:val="center"/>
      </w:pPr>
      <w:r>
        <w:drawing>
          <wp:inline xmlns:a="http://schemas.openxmlformats.org/drawingml/2006/main" xmlns:pic="http://schemas.openxmlformats.org/drawingml/2006/picture">
            <wp:extent cx="5943600" cy="2759529"/>
            <wp:docPr id="7" name="Picture 7"/>
            <wp:cNvGraphicFramePr>
              <a:graphicFrameLocks noChangeAspect="1"/>
            </wp:cNvGraphicFramePr>
            <a:graphic>
              <a:graphicData uri="http://schemas.openxmlformats.org/drawingml/2006/picture">
                <pic:pic>
                  <pic:nvPicPr>
                    <pic:cNvPr id="0" name="LabMethods_VitD.png"/>
                    <pic:cNvPicPr/>
                  </pic:nvPicPr>
                  <pic:blipFill>
                    <a:blip r:embed="rId15"/>
                    <a:stretch>
                      <a:fillRect/>
                    </a:stretch>
                  </pic:blipFill>
                  <pic:spPr>
                    <a:xfrm>
                      <a:off x="0" y="0"/>
                      <a:ext cx="5943600" cy="2759529"/>
                    </a:xfrm>
                    <a:prstGeom prst="rect"/>
                  </pic:spPr>
                </pic:pic>
              </a:graphicData>
            </a:graphic>
          </wp:inline>
        </w:drawing>
      </w:r>
    </w:p>
    <w:p>
      <w:pPr>
        <w:spacing w:before="120" w:after="320"/>
        <w:jc w:val="left"/>
      </w:pPr>
      <w:r>
        <w:rPr>
          <w:rFonts w:ascii="Times New Roman" w:hAnsi="Times New Roman"/>
          <w:b/>
          <w:i w:val="0"/>
          <w:sz w:val="22"/>
        </w:rPr>
        <w:t xml:space="preserve">Figure S2. </w:t>
      </w:r>
      <w:r>
        <w:rPr>
          <w:rFonts w:ascii="Times New Roman" w:hAnsi="Times New Roman"/>
          <w:b w:val="0"/>
          <w:i/>
          <w:sz w:val="22"/>
        </w:rPr>
        <w:t>(a) Laboratory methods for 25(OH)D quantification. (b) Maternal 25(OH)D concentrations by continent. Dashed red line = 50 nmol/L sufficiency threshold.</w:t>
      </w:r>
    </w:p>
    <w:p>
      <w:pPr>
        <w:jc w:val="center"/>
      </w:pPr>
      <w:r>
        <w:drawing>
          <wp:inline xmlns:a="http://schemas.openxmlformats.org/drawingml/2006/main" xmlns:pic="http://schemas.openxmlformats.org/drawingml/2006/picture">
            <wp:extent cx="5943600" cy="4622800"/>
            <wp:docPr id="8" name="Picture 8"/>
            <wp:cNvGraphicFramePr>
              <a:graphicFrameLocks noChangeAspect="1"/>
            </wp:cNvGraphicFramePr>
            <a:graphic>
              <a:graphicData uri="http://schemas.openxmlformats.org/drawingml/2006/picture">
                <pic:pic>
                  <pic:nvPicPr>
                    <pic:cNvPr id="0" name="Quality_JBI_NOS.png"/>
                    <pic:cNvPicPr/>
                  </pic:nvPicPr>
                  <pic:blipFill>
                    <a:blip r:embed="rId16"/>
                    <a:stretch>
                      <a:fillRect/>
                    </a:stretch>
                  </pic:blipFill>
                  <pic:spPr>
                    <a:xfrm>
                      <a:off x="0" y="0"/>
                      <a:ext cx="5943600" cy="4622800"/>
                    </a:xfrm>
                    <a:prstGeom prst="rect"/>
                  </pic:spPr>
                </pic:pic>
              </a:graphicData>
            </a:graphic>
          </wp:inline>
        </w:drawing>
      </w:r>
    </w:p>
    <w:p>
      <w:pPr>
        <w:spacing w:before="120" w:after="320"/>
        <w:jc w:val="left"/>
      </w:pPr>
      <w:r>
        <w:rPr>
          <w:rFonts w:ascii="Times New Roman" w:hAnsi="Times New Roman"/>
          <w:b/>
          <w:i w:val="0"/>
          <w:sz w:val="22"/>
        </w:rPr>
        <w:t xml:space="preserve">Figure S3. </w:t>
      </w:r>
      <w:r>
        <w:rPr>
          <w:rFonts w:ascii="Times New Roman" w:hAnsi="Times New Roman"/>
          <w:b w:val="0"/>
          <w:i/>
          <w:sz w:val="22"/>
        </w:rPr>
        <w:t>Methodological quality: (a) JBI Critical Appraisal heatmap (Q1–Q9). (b) Newcastle–Ottawa Scale scores. Dashed red line = NOS ≥ 7 (high quality).</w:t>
      </w:r>
    </w:p>
    <w:p>
      <w:pPr>
        <w:jc w:val="center"/>
      </w:pPr>
      <w:r>
        <w:drawing>
          <wp:inline xmlns:a="http://schemas.openxmlformats.org/drawingml/2006/main" xmlns:pic="http://schemas.openxmlformats.org/drawingml/2006/picture">
            <wp:extent cx="5943600" cy="2122714"/>
            <wp:docPr id="9" name="Picture 9"/>
            <wp:cNvGraphicFramePr>
              <a:graphicFrameLocks noChangeAspect="1"/>
            </wp:cNvGraphicFramePr>
            <a:graphic>
              <a:graphicData uri="http://schemas.openxmlformats.org/drawingml/2006/picture">
                <pic:pic>
                  <pic:nvPicPr>
                    <pic:cNvPr id="0" name="LOO_Sensitivity.png"/>
                    <pic:cNvPicPr/>
                  </pic:nvPicPr>
                  <pic:blipFill>
                    <a:blip r:embed="rId17"/>
                    <a:stretch>
                      <a:fillRect/>
                    </a:stretch>
                  </pic:blipFill>
                  <pic:spPr>
                    <a:xfrm>
                      <a:off x="0" y="0"/>
                      <a:ext cx="5943600" cy="2122714"/>
                    </a:xfrm>
                    <a:prstGeom prst="rect"/>
                  </pic:spPr>
                </pic:pic>
              </a:graphicData>
            </a:graphic>
          </wp:inline>
        </w:drawing>
      </w:r>
    </w:p>
    <w:p>
      <w:pPr>
        <w:spacing w:before="120" w:after="320"/>
        <w:jc w:val="left"/>
      </w:pPr>
      <w:r>
        <w:rPr>
          <w:rFonts w:ascii="Times New Roman" w:hAnsi="Times New Roman"/>
          <w:b/>
          <w:i w:val="0"/>
          <w:sz w:val="22"/>
        </w:rPr>
        <w:t xml:space="preserve">Figure S4. </w:t>
      </w:r>
      <w:r>
        <w:rPr>
          <w:rFonts w:ascii="Times New Roman" w:hAnsi="Times New Roman"/>
          <w:b w:val="0"/>
          <w:i/>
          <w:sz w:val="22"/>
        </w:rPr>
        <w:t>Leave-one-out sensitivity analysis for SGA/FGR meta-analysis. Dashed line = overall pooled estimate. All estimates remain statistically significant.</w:t>
      </w:r>
    </w:p>
    <w:p>
      <w:pPr>
        <w:jc w:val="center"/>
      </w:pPr>
      <w:r>
        <w:drawing>
          <wp:inline xmlns:a="http://schemas.openxmlformats.org/drawingml/2006/main" xmlns:pic="http://schemas.openxmlformats.org/drawingml/2006/picture">
            <wp:extent cx="5943600" cy="2724150"/>
            <wp:docPr id="10" name="Picture 10"/>
            <wp:cNvGraphicFramePr>
              <a:graphicFrameLocks noChangeAspect="1"/>
            </wp:cNvGraphicFramePr>
            <a:graphic>
              <a:graphicData uri="http://schemas.openxmlformats.org/drawingml/2006/picture">
                <pic:pic>
                  <pic:nvPicPr>
                    <pic:cNvPr id="0" name="Cutoff_Subgroup.png"/>
                    <pic:cNvPicPr/>
                  </pic:nvPicPr>
                  <pic:blipFill>
                    <a:blip r:embed="rId18"/>
                    <a:stretch>
                      <a:fillRect/>
                    </a:stretch>
                  </pic:blipFill>
                  <pic:spPr>
                    <a:xfrm>
                      <a:off x="0" y="0"/>
                      <a:ext cx="5943600" cy="2724150"/>
                    </a:xfrm>
                    <a:prstGeom prst="rect"/>
                  </pic:spPr>
                </pic:pic>
              </a:graphicData>
            </a:graphic>
          </wp:inline>
        </w:drawing>
      </w:r>
    </w:p>
    <w:p>
      <w:pPr>
        <w:spacing w:before="120" w:after="320"/>
        <w:jc w:val="left"/>
      </w:pPr>
      <w:r>
        <w:rPr>
          <w:rFonts w:ascii="Times New Roman" w:hAnsi="Times New Roman"/>
          <w:b/>
          <w:i w:val="0"/>
          <w:sz w:val="22"/>
        </w:rPr>
        <w:t xml:space="preserve">Figure S5. </w:t>
      </w:r>
      <w:r>
        <w:rPr>
          <w:rFonts w:ascii="Times New Roman" w:hAnsi="Times New Roman"/>
          <w:b w:val="0"/>
          <w:i/>
          <w:sz w:val="22"/>
        </w:rPr>
        <w:t>Subgroup forest plot stratified by vitamin D deficiency threshold. Diamond = overall pooled estimate. All subgroups directionally consistent.</w:t>
      </w:r>
    </w:p>
    <w:p>
      <w:pPr>
        <w:jc w:val="center"/>
      </w:pPr>
      <w:r>
        <w:drawing>
          <wp:inline xmlns:a="http://schemas.openxmlformats.org/drawingml/2006/main" xmlns:pic="http://schemas.openxmlformats.org/drawingml/2006/picture">
            <wp:extent cx="5029200" cy="4470400"/>
            <wp:docPr id="11" name="Picture 11"/>
            <wp:cNvGraphicFramePr>
              <a:graphicFrameLocks noChangeAspect="1"/>
            </wp:cNvGraphicFramePr>
            <a:graphic>
              <a:graphicData uri="http://schemas.openxmlformats.org/drawingml/2006/picture">
                <pic:pic>
                  <pic:nvPicPr>
                    <pic:cNvPr id="0" name="Funnel_TrimFill.png"/>
                    <pic:cNvPicPr/>
                  </pic:nvPicPr>
                  <pic:blipFill>
                    <a:blip r:embed="rId19"/>
                    <a:stretch>
                      <a:fillRect/>
                    </a:stretch>
                  </pic:blipFill>
                  <pic:spPr>
                    <a:xfrm>
                      <a:off x="0" y="0"/>
                      <a:ext cx="5029200" cy="4470400"/>
                    </a:xfrm>
                    <a:prstGeom prst="rect"/>
                  </pic:spPr>
                </pic:pic>
              </a:graphicData>
            </a:graphic>
          </wp:inline>
        </w:drawing>
      </w:r>
    </w:p>
    <w:p>
      <w:pPr>
        <w:spacing w:before="120" w:after="320"/>
        <w:jc w:val="left"/>
      </w:pPr>
      <w:r>
        <w:rPr>
          <w:rFonts w:ascii="Times New Roman" w:hAnsi="Times New Roman"/>
          <w:b/>
          <w:i w:val="0"/>
          <w:sz w:val="22"/>
        </w:rPr>
        <w:t xml:space="preserve">Figure S6. </w:t>
      </w:r>
      <w:r>
        <w:rPr>
          <w:rFonts w:ascii="Times New Roman" w:hAnsi="Times New Roman"/>
          <w:b w:val="0"/>
          <w:i/>
          <w:sz w:val="22"/>
        </w:rPr>
        <w:t>Funnel plot with Duval &amp; Tweedie trim-and-fill analysis for SGA/FGR. Navy squares = observed; red open square = imputed.</w:t>
      </w:r>
    </w:p>
    <w:p>
      <w:pPr>
        <w:jc w:val="center"/>
      </w:pPr>
      <w:r>
        <w:drawing>
          <wp:inline xmlns:a="http://schemas.openxmlformats.org/drawingml/2006/main" xmlns:pic="http://schemas.openxmlformats.org/drawingml/2006/picture">
            <wp:extent cx="5943600" cy="3200400"/>
            <wp:docPr id="12" name="Picture 12"/>
            <wp:cNvGraphicFramePr>
              <a:graphicFrameLocks noChangeAspect="1"/>
            </wp:cNvGraphicFramePr>
            <a:graphic>
              <a:graphicData uri="http://schemas.openxmlformats.org/drawingml/2006/picture">
                <pic:pic>
                  <pic:nvPicPr>
                    <pic:cNvPr id="0" name="BubblePlot.png"/>
                    <pic:cNvPicPr/>
                  </pic:nvPicPr>
                  <pic:blipFill>
                    <a:blip r:embed="rId20"/>
                    <a:stretch>
                      <a:fillRect/>
                    </a:stretch>
                  </pic:blipFill>
                  <pic:spPr>
                    <a:xfrm>
                      <a:off x="0" y="0"/>
                      <a:ext cx="5943600" cy="3200400"/>
                    </a:xfrm>
                    <a:prstGeom prst="rect"/>
                  </pic:spPr>
                </pic:pic>
              </a:graphicData>
            </a:graphic>
          </wp:inline>
        </w:drawing>
      </w:r>
    </w:p>
    <w:p>
      <w:pPr>
        <w:spacing w:before="120" w:after="320"/>
        <w:jc w:val="left"/>
      </w:pPr>
      <w:r>
        <w:rPr>
          <w:rFonts w:ascii="Times New Roman" w:hAnsi="Times New Roman"/>
          <w:b/>
          <w:i w:val="0"/>
          <w:sz w:val="22"/>
        </w:rPr>
        <w:t xml:space="preserve">Figure S7. </w:t>
      </w:r>
      <w:r>
        <w:rPr>
          <w:rFonts w:ascii="Times New Roman" w:hAnsi="Times New Roman"/>
          <w:b w:val="0"/>
          <w:i/>
          <w:sz w:val="22"/>
        </w:rPr>
        <w:t>Bubble plot: mean maternal 25(OH)D vs sample size. Dashed red line = 50 nmol/L sufficiency threshold.</w:t>
      </w:r>
    </w:p>
    <w:p>
      <w:pPr>
        <w:jc w:val="center"/>
      </w:pPr>
      <w:r>
        <w:drawing>
          <wp:inline xmlns:a="http://schemas.openxmlformats.org/drawingml/2006/main" xmlns:pic="http://schemas.openxmlformats.org/drawingml/2006/picture">
            <wp:extent cx="5943600" cy="6438900"/>
            <wp:docPr id="13" name="Picture 13"/>
            <wp:cNvGraphicFramePr>
              <a:graphicFrameLocks noChangeAspect="1"/>
            </wp:cNvGraphicFramePr>
            <a:graphic>
              <a:graphicData uri="http://schemas.openxmlformats.org/drawingml/2006/picture">
                <pic:pic>
                  <pic:nvPicPr>
                    <pic:cNvPr id="0" name="Narrative_Synthesis.png"/>
                    <pic:cNvPicPr/>
                  </pic:nvPicPr>
                  <pic:blipFill>
                    <a:blip r:embed="rId21"/>
                    <a:stretch>
                      <a:fillRect/>
                    </a:stretch>
                  </pic:blipFill>
                  <pic:spPr>
                    <a:xfrm>
                      <a:off x="0" y="0"/>
                      <a:ext cx="5943600" cy="6438900"/>
                    </a:xfrm>
                    <a:prstGeom prst="rect"/>
                  </pic:spPr>
                </pic:pic>
              </a:graphicData>
            </a:graphic>
          </wp:inline>
        </w:drawing>
      </w:r>
    </w:p>
    <w:p>
      <w:pPr>
        <w:spacing w:before="120" w:after="320"/>
        <w:jc w:val="left"/>
      </w:pPr>
      <w:r>
        <w:rPr>
          <w:rFonts w:ascii="Times New Roman" w:hAnsi="Times New Roman"/>
          <w:b/>
          <w:i w:val="0"/>
          <w:sz w:val="22"/>
        </w:rPr>
        <w:t xml:space="preserve">Figure S8. </w:t>
      </w:r>
      <w:r>
        <w:rPr>
          <w:rFonts w:ascii="Times New Roman" w:hAnsi="Times New Roman"/>
          <w:b w:val="0"/>
          <w:i/>
          <w:sz w:val="22"/>
        </w:rPr>
        <w:t>Narrative synthesis heatmap: direction of association and quality (NOS/RoB) for all 26 studies.</w:t>
      </w:r>
    </w:p>
    <w:p>
      <w:pPr>
        <w:jc w:val="center"/>
      </w:pPr>
      <w:r>
        <w:drawing>
          <wp:inline xmlns:a="http://schemas.openxmlformats.org/drawingml/2006/main" xmlns:pic="http://schemas.openxmlformats.org/drawingml/2006/picture">
            <wp:extent cx="5943600" cy="2971800"/>
            <wp:docPr id="14" name="Picture 14"/>
            <wp:cNvGraphicFramePr>
              <a:graphicFrameLocks noChangeAspect="1"/>
            </wp:cNvGraphicFramePr>
            <a:graphic>
              <a:graphicData uri="http://schemas.openxmlformats.org/drawingml/2006/picture">
                <pic:pic>
                  <pic:nvPicPr>
                    <pic:cNvPr id="0" name="Outcome_CutoffSummary.png"/>
                    <pic:cNvPicPr/>
                  </pic:nvPicPr>
                  <pic:blipFill>
                    <a:blip r:embed="rId22"/>
                    <a:stretch>
                      <a:fillRect/>
                    </a:stretch>
                  </pic:blipFill>
                  <pic:spPr>
                    <a:xfrm>
                      <a:off x="0" y="0"/>
                      <a:ext cx="5943600" cy="2971800"/>
                    </a:xfrm>
                    <a:prstGeom prst="rect"/>
                  </pic:spPr>
                </pic:pic>
              </a:graphicData>
            </a:graphic>
          </wp:inline>
        </w:drawing>
      </w:r>
    </w:p>
    <w:p>
      <w:pPr>
        <w:spacing w:before="120" w:after="320"/>
        <w:jc w:val="left"/>
      </w:pPr>
      <w:r>
        <w:rPr>
          <w:rFonts w:ascii="Times New Roman" w:hAnsi="Times New Roman"/>
          <w:b/>
          <w:i w:val="0"/>
          <w:sz w:val="22"/>
        </w:rPr>
        <w:t xml:space="preserve">Figure S9. </w:t>
      </w:r>
      <w:r>
        <w:rPr>
          <w:rFonts w:ascii="Times New Roman" w:hAnsi="Times New Roman"/>
          <w:b w:val="0"/>
          <w:i/>
          <w:sz w:val="22"/>
        </w:rPr>
        <w:t>(a) Outcome categories by significance. (b) Vitamin D deficiency threshold distribution.</w:t>
      </w:r>
    </w:p>
    <w:p/>
    <w:p>
      <w:r>
        <w:rPr>
          <w:rFonts w:ascii="Times New Roman" w:hAnsi="Times New Roman"/>
          <w:b w:val="0"/>
          <w:i/>
          <w:sz w:val="24"/>
        </w:rPr>
        <w:t>All supplementary data files are also available at:</w:t>
      </w:r>
    </w:p>
    <w:p>
      <w:r>
        <w:rPr>
          <w:rFonts w:ascii="Times New Roman" w:hAnsi="Times New Roman"/>
          <w:b/>
          <w:i w:val="0"/>
          <w:sz w:val="24"/>
        </w:rPr>
        <w:t>https://github.com/Audency/maternal-vitamin-d-meta-analysis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