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Fairlie 2005 decomposition with BCa bootstrap 95% CI (R=500), base specification.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2"/>
        <w:gridCol w:w="2101"/>
        <w:gridCol w:w="2591"/>
        <w:gridCol w:w="3171"/>
        <w:gridCol w:w="971"/>
        <w:gridCol w:w="861"/>
        <w:gridCol w:w="2451"/>
      </w:tblGrid>
      <w:tr>
        <w:trPr>
          <w:trHeight w:val="58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 Δ (pp,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Composition (pp,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Coefficients [mode] (pp,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Dominant interpretation</w:t>
            </w:r>
          </w:p>
        </w:tc>
      </w:tr>
      <w:tr>
        <w:trPr>
          <w:trHeight w:val="58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Current smoking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−1.89 (−2.59, −1.25)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−0.12 (−0.28, +0.06)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−1.77 (−2.58, −1.10)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Mode-driven</w:t>
            </w:r>
          </w:p>
        </w:tc>
      </w:tr>
      <w:tr>
        <w:trPr>
          <w:trHeight w:val="58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Diagnosed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+2.66 (+1.69, +3.43)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+0.47 (+0.10, +0.94)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+2.19 (+1.35, +2.95)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Both contribute</w:t>
            </w:r>
          </w:p>
        </w:tc>
      </w:tr>
      <w:tr>
        <w:trPr>
          <w:trHeight w:val="58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Diagnosed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+0.76 (+0.27, +1.23)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+0.12 (−0.05, +0.30)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+0.64 (+0.15, +1.09)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Mode-driven</w:t>
            </w:r>
          </w:p>
        </w:tc>
      </w:tr>
      <w:tr>
        <w:trPr>
          <w:trHeight w:val="57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 self-rated health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−0.22 (−0.66, +0.27)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−0.05 (−0.16, +0.04)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−0.17 (−0.64, +0.34)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Both NS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2026-05-07T09:49:10Z</dcterms:modified>
  <cp:category/>
</cp:coreProperties>
</file>