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60"/>
        <w:keepNext/>
        <w:jc w:val="start"/>
        <w:pStyle w:val="caption"/>
      </w:pPr>
      <w:r>
        <w:rPr>
          <w:rFonts w:ascii="Calibri" w:hAnsi="Calibri"/>
          <w:sz w:val="24"/>
        </w:rPr>
        <w:t xml:space="preserve">Table </w:t>
      </w:r>
      <w:r>
        <w:fldChar w:fldCharType="begin" w:dirty="true"/>
      </w:r>
      <w:r>
        <w:instrText xml:space="preserve" w:dirty="true"> SEQ Table \* ARABIC </w:instrText>
      </w:r>
      <w:r>
        <w:fldChar w:fldCharType="separate" w:dirty="true"/>
      </w:r>
      <w:r>
        <w:rPr>
          <w:noProof/>
          <w:rFonts w:ascii="Calibri" w:hAnsi="Calibri"/>
          <w:sz w:val="24"/>
        </w:rPr>
        <w:t xml:space="default">1</w:t>
      </w:r>
      <w:r>
        <w:fldChar w:fldCharType="end" w:dirty="true"/>
      </w:r>
      <w:r>
        <w:rPr>
          <w:rFonts w:ascii="Calibri" w:hAnsi="Calibri"/>
          <w:sz w:val="24"/>
        </w:rPr>
        <w:t xml:space="preserve">: </w:t>
      </w:r>
      <w:r>
        <w:rPr>
          <w:b w:val="true"/>
          <w:rFonts w:ascii="Calibri" w:hAnsi="Calibri"/>
          <w:sz w:val="24"/>
          <w:color w:val="333333"/>
        </w:rPr>
        <w:t xml:space="preserve">Tabela 2.</w:t>
      </w:r>
      <w:r>
        <w:rPr>
          <w:rFonts w:ascii="Calibri" w:hAnsi="Calibri"/>
          <w:sz w:val="24"/>
          <w:color w:val="333333"/>
        </w:rPr>
        <w:t xml:space="preserve"> Prevalência dos indicadores em adultos (≥18 anos) das 27 capitais, com diferença absoluta bruta e padronizada por idade e razão de prevalências</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BLACK"/>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z="16" w:space="0" w:color="D3D3D3"/>
              <w:bottom w:val="single" w:sz="16" w:space="0" w:color="BLACK"/>
              <w:start w:val="single" w:space="0" w:color="D3D3D3"/>
            </w:tcBorders>
          </w:tcPr>
          <w:p>
            <w:pPr>
              <w:spacing w:before="0" w:after="60"/>
              <w:keepNext/>
              <w:jc w:val="center"/>
            </w:pPr>
            <w:r>
              <w:rPr>
                <w:b w:val="true"/>
                <w:rFonts w:ascii="Calibri" w:hAnsi="Calibri"/>
                <w:sz w:val="20"/>
              </w:rPr>
              <w:t xml:space="preserve">Vigitel 2019</w:t>
            </w:r>
          </w:p>
          <w:p>
            <w:pPr>
              <w:spacing w:before="0" w:after="60"/>
              <w:keepNext/>
              <w:jc w:val="center"/>
            </w:pPr>
            <w:r>
              <w:rPr>
                <w:rFonts w:ascii="Calibri" w:hAnsi="Calibri"/>
                <w:sz w:val="20"/>
              </w:rPr>
              <w:t xml:space="preserve">% (IC 95%)</w:t>
            </w:r>
          </w:p>
        </w:tc>
        <w:tc>
          <w:tcPr>
            <w:tcBorders>
              <w:top w:val="single" w:sz="16" w:space="0" w:color="D3D3D3"/>
              <w:bottom w:val="single" w:sz="16" w:space="0" w:color="BLACK"/>
            </w:tcBorders>
          </w:tcPr>
          <w:p>
            <w:pPr>
              <w:spacing w:before="0" w:after="60"/>
              <w:keepNext/>
              <w:jc w:val="center"/>
            </w:pPr>
            <w:r>
              <w:rPr>
                <w:b w:val="true"/>
                <w:rFonts w:ascii="Calibri" w:hAnsi="Calibri"/>
                <w:sz w:val="20"/>
              </w:rPr>
              <w:t xml:space="preserve">PNS 2019</w:t>
            </w:r>
          </w:p>
          <w:p>
            <w:pPr>
              <w:spacing w:before="0" w:after="60"/>
              <w:keepNext/>
              <w:jc w:val="center"/>
            </w:pPr>
            <w:r>
              <w:rPr>
                <w:rFonts w:ascii="Calibri" w:hAnsi="Calibri"/>
                <w:sz w:val="20"/>
              </w:rPr>
              <w:t xml:space="preserve">% (IC 95%)</w:t>
            </w:r>
          </w:p>
        </w:tc>
        <w:tc>
          <w:tcPr>
            <w:tcBorders>
              <w:top w:val="single" w:sz="16" w:space="0" w:color="D3D3D3"/>
              <w:bottom w:val="single" w:sz="16" w:space="0" w:color="BLACK"/>
            </w:tcBorders>
          </w:tcPr>
          <w:p>
            <w:pPr>
              <w:spacing w:before="0" w:after="60"/>
              <w:keepNext/>
              <w:jc w:val="center"/>
            </w:pPr>
            <w:r>
              <w:rPr>
                <w:b w:val="true"/>
                <w:rFonts w:ascii="Calibri" w:hAnsi="Calibri"/>
                <w:sz w:val="20"/>
              </w:rPr>
              <w:t xml:space="preserve">Δ bruta</w:t>
            </w:r>
            <w:r>
              <w:rPr>
                <w:vertAlign w:val="superscript"/>
                <w:i/>
                <w:rFonts w:ascii="Calibri" w:hAnsi="Calibri"/>
                <w:sz w:val="20"/>
              </w:rPr>
              <w:t xml:space="default">1</w:t>
            </w:r>
          </w:p>
        </w:tc>
        <w:tc>
          <w:tcPr>
            <w:tcBorders>
              <w:top w:val="single" w:sz="16" w:space="0" w:color="D3D3D3"/>
              <w:bottom w:val="single" w:sz="16" w:space="0" w:color="BLACK"/>
            </w:tcBorders>
          </w:tcPr>
          <w:p>
            <w:pPr>
              <w:spacing w:before="0" w:after="60"/>
              <w:keepNext/>
              <w:jc w:val="center"/>
            </w:pPr>
            <w:r>
              <w:rPr>
                <w:rFonts w:ascii="Calibri" w:hAnsi="Calibri"/>
                <w:sz w:val="20"/>
              </w:rPr>
              <w:t xml:space="preserve">pp (IC 95%)</w:t>
            </w:r>
            <w:r>
              <w:rPr>
                <w:vertAlign w:val="superscript"/>
                <w:i/>
                <w:rFonts w:ascii="Calibri" w:hAnsi="Calibri"/>
                <w:sz w:val="20"/>
              </w:rPr>
              <w:t xml:space="default">1</w:t>
            </w:r>
          </w:p>
        </w:tc>
        <w:tc>
          <w:tcPr>
            <w:tcBorders>
              <w:top w:val="single" w:sz="16" w:space="0" w:color="D3D3D3"/>
              <w:bottom w:val="single" w:sz="16" w:space="0" w:color="BLACK"/>
            </w:tcBorders>
          </w:tcPr>
          <w:p>
            <w:pPr>
              <w:spacing w:before="0" w:after="60"/>
              <w:keepNext/>
              <w:jc w:val="center"/>
            </w:pPr>
            <w:r>
              <w:rPr>
                <w:b w:val="true"/>
                <w:rFonts w:ascii="Calibri" w:hAnsi="Calibri"/>
                <w:sz w:val="20"/>
              </w:rPr>
              <w:t xml:space="preserve">Δ padronizada</w:t>
            </w:r>
            <w:r>
              <w:rPr>
                <w:vertAlign w:val="superscript"/>
                <w:i/>
                <w:rFonts w:ascii="Calibri" w:hAnsi="Calibri"/>
                <w:sz w:val="20"/>
              </w:rPr>
              <w:t xml:space="default">2</w:t>
            </w:r>
          </w:p>
        </w:tc>
        <w:tc>
          <w:tcPr>
            <w:tcBorders>
              <w:top w:val="single" w:sz="16" w:space="0" w:color="D3D3D3"/>
              <w:bottom w:val="single" w:sz="16" w:space="0" w:color="BLACK"/>
              <w:end w:val="single" w:space="0" w:color="D3D3D3"/>
            </w:tcBorders>
          </w:tcPr>
          <w:p>
            <w:pPr>
              <w:spacing w:before="0" w:after="60"/>
              <w:keepNext/>
              <w:jc w:val="center"/>
            </w:pPr>
            <w:r>
              <w:rPr>
                <w:rFonts w:ascii="Calibri" w:hAnsi="Calibri"/>
                <w:sz w:val="20"/>
              </w:rPr>
              <w:t xml:space="preserve">pp (IC 95%)</w:t>
            </w:r>
            <w:r>
              <w:rPr>
                <w:vertAlign w:val="superscript"/>
                <w:i/>
                <w:rFonts w:ascii="Calibri" w:hAnsi="Calibri"/>
                <w:sz w:val="20"/>
              </w:rPr>
              <w:t xml:space="default">2</w:t>
            </w:r>
          </w:p>
        </w:tc>
      </w:tr>
      <w:tr>
        <w:trPr>
          <w:cantSplit/>
        </w:trPr>
        <w:tc>
          <w:tcPr>
            <w:tcBorders>
              <w:top w:val="single" w:sz="16" w:space="0" w:color="D3D3D3"/>
              <w:bottom w:val="single" w:sz="16" w:space="0" w:color="D3D3D3"/>
              <w:start w:val="single" w:space="0" w:color="D3D3D3"/>
              <w:end w:val="single" w:space="0" w:color="D3D3D3"/>
            </w:tcBorders>
            <w:tcMar>
              <w:top w:w="25" w:type="dxa"/>
            </w:tcMar>
            <w:gridSpan w:val="7"/>
          </w:tcPr>
          <w:p>
            <w:pPr>
              <w:spacing w:before="0" w:after="60"/>
              <w:keepNext/>
            </w:pPr>
            <w:r>
              <w:rPr>
                <w:rFonts w:ascii="Calibri" w:hAnsi="Calibri"/>
                <w:sz w:val="20"/>
              </w:rPr>
              <w:t xml:space="default">Tabagismo atual</w:t>
            </w:r>
            <w:r>
              <w:rPr>
                <w:vertAlign w:val="superscript"/>
                <w:i/>
                <w:rFonts w:ascii="Calibri" w:hAnsi="Calibri"/>
                <w:sz w:val="20"/>
              </w:rPr>
              <w:t xml:space="default">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Total</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9,8 (9,2–10,5)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11,4 (10,8–12,0)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-1,58 (-2,45 a -0,71)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-1,58 (-2,42 a -0,74)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0,86 (0,79–0,94)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Masculino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12,3 (11,2–13,5)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14,4 (13,4–15,4)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-2,06 (-3,58 a -0,53)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0,86 (0,76–0,96)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Feminino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7,7 (7,1–8,4)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9,0 (8,3–9,7)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-1,26 (-2,18 a -0,33)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0,86 (0,77–0,96)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r>
      <w:tr>
        <w:trPr>
          <w:cantSplit/>
        </w:trPr>
        <w:tc>
          <w:tcPr>
            <w:tcBorders>
              <w:top w:val="single" w:sz="16" w:space="0" w:color="D3D3D3"/>
              <w:bottom w:val="single" w:sz="16" w:space="0" w:color="D3D3D3"/>
              <w:start w:val="single" w:space="0" w:color="D3D3D3"/>
              <w:end w:val="single" w:space="0" w:color="D3D3D3"/>
            </w:tcBorders>
            <w:tcMar>
              <w:top w:w="25" w:type="dxa"/>
            </w:tcMar>
            <w:gridSpan w:val="7"/>
          </w:tcPr>
          <w:p>
            <w:pPr>
              <w:spacing w:before="0" w:after="60"/>
              <w:keepNext/>
            </w:pPr>
            <w:r>
              <w:rPr>
                <w:rFonts w:ascii="Calibri" w:hAnsi="Calibri"/>
                <w:sz w:val="20"/>
              </w:rPr>
              <w:t xml:space="default">Hipertensão diagnosticada</w:t>
            </w:r>
            <w:r>
              <w:rPr>
                <w:vertAlign w:val="superscript"/>
                <w:i/>
                <w:rFonts w:ascii="Calibri" w:hAnsi="Calibri"/>
                <w:sz w:val="20"/>
              </w:rPr>
              <w:t xml:space="default">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Total</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24,5 (23,8–25,3)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22,4 (21,7–23,2)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2,08 (1,02–3,13)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4,66 (3,74–5,58)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1,09 (1,04–1,14)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Masculino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21,2 (20,1–22,4)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20,1 (19,1–21,2)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1,11 (-0,45 a 2,66)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1,05 (0,98–1,14)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Feminino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27,3 (26,4–28,3)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24,4 (23,4–25,4)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2,98 (1,60–4,35)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1,12 (1,06–1,18)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r>
      <w:tr>
        <w:trPr>
          <w:cantSplit/>
        </w:trPr>
        <w:tc>
          <w:tcPr>
            <w:tcBorders>
              <w:top w:val="single" w:sz="16" w:space="0" w:color="D3D3D3"/>
              <w:bottom w:val="single" w:sz="16" w:space="0" w:color="D3D3D3"/>
              <w:start w:val="single" w:space="0" w:color="D3D3D3"/>
              <w:end w:val="single" w:space="0" w:color="D3D3D3"/>
            </w:tcBorders>
            <w:tcMar>
              <w:top w:w="25" w:type="dxa"/>
            </w:tcMar>
            <w:gridSpan w:val="7"/>
          </w:tcPr>
          <w:p>
            <w:pPr>
              <w:spacing w:before="0" w:after="60"/>
              <w:keepNext/>
            </w:pPr>
            <w:r>
              <w:rPr>
                <w:rFonts w:ascii="Calibri" w:hAnsi="Calibri"/>
                <w:sz w:val="20"/>
              </w:rPr>
              <w:t xml:space="default">Diabetes diagnosticado</w:t>
            </w:r>
            <w:r>
              <w:rPr>
                <w:vertAlign w:val="superscript"/>
                <w:i/>
                <w:rFonts w:ascii="Calibri" w:hAnsi="Calibri"/>
                <w:sz w:val="20"/>
              </w:rPr>
              <w:t xml:space="default">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Total</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7,4 (7,0–7,9)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7,7 (7,2–8,1)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-0,21 (-0,82 a 0,41)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0,88 (0,31–1,45)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0,97 (0,90–1,06)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0,508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Masculino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7,1 (6,4–7,8)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7,2 (6,5–7,9)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-0,11 (-1,07 a 0,86)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0,99 (0,86–1,13)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Feminino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7,8 (7,3–8,3)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8,0 (7,5–8,7)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-0,28 (-1,06 a 0,50)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0,97 (0,87–1,07)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r>
      <w:tr>
        <w:trPr>
          <w:cantSplit/>
        </w:trPr>
        <w:tc>
          <w:tcPr>
            <w:tcBorders>
              <w:top w:val="single" w:sz="16" w:space="0" w:color="D3D3D3"/>
              <w:bottom w:val="single" w:sz="16" w:space="0" w:color="D3D3D3"/>
              <w:start w:val="single" w:space="0" w:color="D3D3D3"/>
              <w:end w:val="single" w:space="0" w:color="D3D3D3"/>
            </w:tcBorders>
            <w:tcMar>
              <w:top w:w="25" w:type="dxa"/>
            </w:tcMar>
            <w:gridSpan w:val="7"/>
          </w:tcPr>
          <w:p>
            <w:pPr>
              <w:spacing w:before="0" w:after="60"/>
              <w:keepNext/>
            </w:pPr>
            <w:r>
              <w:rPr>
                <w:rFonts w:ascii="Calibri" w:hAnsi="Calibri"/>
                <w:sz w:val="20"/>
              </w:rPr>
              <w:t xml:space="default">Autoavaliação ruim de saúde</w:t>
            </w:r>
            <w:r>
              <w:rPr>
                <w:vertAlign w:val="superscript"/>
                <w:i/>
                <w:rFonts w:ascii="Calibri" w:hAnsi="Calibri"/>
                <w:sz w:val="20"/>
              </w:rPr>
              <w:t xml:space="default">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Total</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4,8 (4,4–5,2)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4,4 (4,1–4,8)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0,37 (-0,15 a 0,90)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0,58 (0,09–1,08)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1,08 (0,97–1,21)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0,329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Masculino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3,4 (2,9–4,0)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3,4 (3,0–3,9)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-0,03 (-0,72 a 0,67)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0,99 (0,81–1,22)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Feminino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6,0 (5,5–6,6)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5,3 (4,8–5,8)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0,74 (-0,01 a 1,49)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1,14 (1,00–1,30)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r>
      <w:tr>
        <w:trPr>
          <w:cantSplit/>
        </w:trPr>
        <w:tc>
          <w:tcPr>
            <w:gridSpan w:val="7"/>
          </w:tcPr>
          <w:p>
            <w:pPr>
              <w:spacing w:before="0" w:after="60"/>
              <w:keepNext/>
            </w:pPr>
            <w:r>
              <w:rPr>
                <w:vertAlign w:val="superscript"/>
                <w:i/>
                <w:rFonts w:ascii="Calibri" w:hAnsi="Calibri"/>
                <w:sz w:val="20"/>
              </w:rPr>
              <w:t xml:space="default">1</w:t>
            </w:r>
            <w:r>
              <w:rPr>
                <w:rFonts w:ascii="Calibri" w:hAnsi="Calibri"/>
                <w:sz w:val="20"/>
              </w:rPr>
              <w:t xml:space="preserve">Δ = Vigitel − PNS, em pontos percentuais (pp). Valor negativo indica prevalência menor no Vigitel.</w:t>
            </w:r>
          </w:p>
        </w:tc>
      </w:tr>
      <w:tr>
        <w:trPr>
          <w:cantSplit/>
        </w:trPr>
        <w:tc>
          <w:tcPr>
            <w:gridSpan w:val="7"/>
          </w:tcPr>
          <w:p>
            <w:pPr>
              <w:spacing w:before="0" w:after="60"/>
              <w:keepNext/>
            </w:pPr>
            <w:r>
              <w:rPr>
                <w:vertAlign w:val="superscript"/>
                <w:i/>
                <w:rFonts w:ascii="Calibri" w:hAnsi="Calibri"/>
                <w:sz w:val="20"/>
              </w:rPr>
              <w:t xml:space="default">2</w:t>
            </w:r>
            <w:r>
              <w:rPr>
                <w:rFonts w:ascii="Calibri" w:hAnsi="Calibri"/>
                <w:sz w:val="20"/>
              </w:rPr>
              <w:t xml:space="default">Padronização direta para a estrutura etária da população adulta das 27 capitais no Censo 2022, aplicada aos dois inquéritos.</w:t>
            </w:r>
          </w:p>
        </w:tc>
      </w:tr>
      <w:tr>
        <w:trPr>
          <w:cantSplit/>
        </w:trPr>
        <w:tc>
          <w:tcPr>
            <w:gridSpan w:val="7"/>
          </w:tcPr>
          <w:p>
            <w:pPr>
              <w:spacing w:before="0" w:after="60"/>
              <w:keepNext/>
            </w:pPr>
            <w:r>
              <w:rPr>
                <w:vertAlign w:val="superscript"/>
                <w:i/>
                <w:rFonts w:ascii="Calibri" w:hAnsi="Calibri"/>
                <w:sz w:val="20"/>
              </w:rPr>
              <w:t xml:space="default">3</w:t>
            </w:r>
            <w:r>
              <w:rPr>
                <w:rFonts w:ascii="Calibri" w:hAnsi="Calibri"/>
                <w:sz w:val="20"/>
              </w:rPr>
              <w:t xml:space="default">RP = razão de prevalências (Vigitel dividido por PNS); intervalo pelo método delta na escala logarítmica.</w:t>
            </w:r>
          </w:p>
        </w:tc>
      </w:tr>
      <w:tr>
        <w:trPr>
          <w:cantSplit/>
        </w:trPr>
        <w:tc>
          <w:tcPr>
            <w:gridSpan w:val="7"/>
          </w:tcPr>
          <w:p>
            <w:pPr>
              <w:spacing w:before="0" w:after="60"/>
              <w:keepNext/>
            </w:pPr>
            <w:r>
              <w:rPr>
                <w:vertAlign w:val="superscript"/>
                <w:i/>
                <w:rFonts w:ascii="Calibri" w:hAnsi="Calibri"/>
                <w:sz w:val="20"/>
              </w:rPr>
              <w:t xml:space="default">4</w:t>
            </w:r>
            <w:r>
              <w:rPr>
                <w:rFonts w:ascii="Calibri" w:hAnsi="Calibri"/>
                <w:sz w:val="20"/>
              </w:rPr>
              <w:t xml:space="default">Teste bilateral da hipótese de diferença nula, tratando os inquéritos como amostras independentes, com correção de Holm sobre os quatro testes principais (linhas Total). As linhas por sexo não entram na correção; a assimetria entre sexos é avaliada pelo teste de interação, em nota de cada indicador.</w:t>
            </w:r>
          </w:p>
        </w:tc>
      </w:tr>
      <w:tr>
        <w:trPr>
          <w:cantSplit/>
        </w:trPr>
        <w:tc>
          <w:tcPr>
            <w:gridSpan w:val="7"/>
          </w:tcPr>
          <w:p>
            <w:pPr>
              <w:spacing w:before="0" w:after="60"/>
              <w:keepNext/>
            </w:pPr>
            <w:r>
              <w:rPr>
                <w:vertAlign w:val="superscript"/>
                <w:i/>
                <w:rFonts w:ascii="Calibri" w:hAnsi="Calibri"/>
                <w:sz w:val="20"/>
              </w:rPr>
              <w:t xml:space="default">5</w:t>
            </w:r>
            <w:r>
              <w:rPr>
                <w:rFonts w:ascii="Calibri" w:hAnsi="Calibri"/>
                <w:sz w:val="20"/>
              </w:rPr>
              <w:t xml:space="default">Interação sexo × inquérito: p = 0,882 (p de Holm = 1,000), de modelo logístico sobre os dados empilhados com o desenho de cada inquérito preservado.</w:t>
            </w:r>
          </w:p>
        </w:tc>
      </w:tr>
      <w:tr>
        <w:trPr>
          <w:cantSplit/>
        </w:trPr>
        <w:tc>
          <w:tcPr>
            <w:gridSpan w:val="7"/>
          </w:tcPr>
          <w:p>
            <w:pPr>
              <w:spacing w:before="0" w:after="60"/>
              <w:keepNext/>
            </w:pPr>
            <w:r>
              <w:rPr>
                <w:vertAlign w:val="superscript"/>
                <w:i/>
                <w:rFonts w:ascii="Calibri" w:hAnsi="Calibri"/>
                <w:sz w:val="20"/>
              </w:rPr>
              <w:t xml:space="default">6</w:t>
            </w:r>
            <w:r>
              <w:rPr>
                <w:rFonts w:ascii="Calibri" w:hAnsi="Calibri"/>
                <w:sz w:val="20"/>
              </w:rPr>
              <w:t xml:space="default">Interação sexo × inquérito: p = 0,142 (p de Holm = 0,568), de modelo logístico sobre os dados empilhados com o desenho de cada inquérito preservado.</w:t>
            </w:r>
          </w:p>
        </w:tc>
      </w:tr>
      <w:tr>
        <w:trPr>
          <w:cantSplit/>
        </w:trPr>
        <w:tc>
          <w:tcPr>
            <w:gridSpan w:val="7"/>
          </w:tcPr>
          <w:p>
            <w:pPr>
              <w:spacing w:before="0" w:after="60"/>
              <w:keepNext/>
            </w:pPr>
            <w:r>
              <w:rPr>
                <w:vertAlign w:val="superscript"/>
                <w:i/>
                <w:rFonts w:ascii="Calibri" w:hAnsi="Calibri"/>
                <w:sz w:val="20"/>
              </w:rPr>
              <w:t xml:space="default">7</w:t>
            </w:r>
            <w:r>
              <w:rPr>
                <w:rFonts w:ascii="Calibri" w:hAnsi="Calibri"/>
                <w:sz w:val="20"/>
              </w:rPr>
              <w:t xml:space="default">Interação sexo × inquérito: p = 0,809 (p de Holm = 1,000), de modelo logístico sobre os dados empilhados com o desenho de cada inquérito preservado.</w:t>
            </w:r>
          </w:p>
        </w:tc>
      </w:tr>
      <w:tr>
        <w:trPr>
          <w:cantSplit/>
        </w:trPr>
        <w:tc>
          <w:tcPr>
            <w:gridSpan w:val="7"/>
          </w:tcPr>
          <w:p>
            <w:pPr>
              <w:spacing w:before="0" w:after="60"/>
              <w:keepNext/>
            </w:pPr>
            <w:r>
              <w:rPr>
                <w:vertAlign w:val="superscript"/>
                <w:i/>
                <w:rFonts w:ascii="Calibri" w:hAnsi="Calibri"/>
                <w:sz w:val="20"/>
              </w:rPr>
              <w:t xml:space="default">8</w:t>
            </w:r>
            <w:r>
              <w:rPr>
                <w:rFonts w:ascii="Calibri" w:hAnsi="Calibri"/>
                <w:sz w:val="20"/>
              </w:rPr>
              <w:t xml:space="default">Interação sexo × inquérito: p = 0,250 (p de Holm = 0,751), de modelo logístico sobre os dados empilhados com o desenho de cada inquérito preservado.</w:t>
            </w:r>
          </w:p>
        </w:tc>
      </w:tr>
      <w:tr>
        <w:trPr>
          <w:cantSplit/>
        </w:trPr>
        <w:tc>
          <w:tcPr>
            <w:gridSpan w:val="7"/>
          </w:tcPr>
          <w:p>
            <w:pPr>
              <w:spacing w:before="0" w:after="60"/>
              <w:keepNext/>
            </w:pPr>
            <w:r>
              <w:rPr>
                <w:rFonts w:ascii="Calibri" w:hAnsi="Calibri"/>
                <w:sz w:val="20"/>
              </w:rPr>
              <w:t xml:space="preserve">Fontes: Vigitel 2019 (Ministério da Saúde) e Pesquisa Nacional de Saúde 2019 (IBGE), restrita às 26 capitais estaduais e ao Distrito Federal. Estimativas ponderadas pelo desenho amostral de cada inquérito. Definições dos indicadores e equivalência das perguntas na Tabela S1.</w:t>
            </w:r>
          </w:p>
        </w:tc>
      </w:tr>
    </w:tbl>
    <w:p>
      <w:pPr>
        <w:pStyle w:val="FirstParagraph"/>
      </w:pPr>
      <w:r>
        <w:t xml:space="preserve"/>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2026-08-30T20:50:00Z</dcterms:created>
  <dcterms:modified xsi:type="dcterms:W3CDTF">2026-08-30T20:50:00Z</dcterms:modified>
</cp:coreProperties>
</file>

<file path=docProps/custom.xml><?xml version="1.0" encoding="utf-8"?>
<Properties xmlns="http://schemas.openxmlformats.org/officeDocument/2006/custom-properties" xmlns:vt="http://schemas.openxmlformats.org/officeDocument/2006/docPropsVTypes"/>
</file>