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Tabela S2.</w:t>
      </w:r>
      <w:r>
        <w:rPr>
          <w:rFonts w:ascii="Calibri" w:hAnsi="Calibri"/>
          <w:sz w:val="24"/>
          <w:color w:val="333333"/>
        </w:rPr>
        <w:t xml:space="preserve"> Validação externa: estimativas próprias contra os valores publicados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Fonte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Indicador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Estrato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Nosso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Publicado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Diferença (pp)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(Q00201)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(Q00201)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(Q00201)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(Q03001)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(Q03001)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(Q03001)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ruim/muito ruim (N001)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ruim/muito ruim (N001)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ruim/muito ruim (N001)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(fumante)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(fumante)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(fumante)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(hart)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(hart)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(hart)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(diab)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(diab)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(diab)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 (saruim)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 (saruim)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 (saruim)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0,005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Diferença máxima absoluta: 0,049 pp na PNS e 0,046 pp no Vigitel. Nenhuma divergência atinge 0,5 pp.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2026-08-04T12:27:52Z</dcterms:created>
  <dcterms:modified xsi:type="dcterms:W3CDTF">2026-08-04T12:27:52Z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