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Tabela S3.</w:t>
      </w:r>
      <w:r>
        <w:rPr>
          <w:rFonts w:ascii="Calibri" w:hAnsi="Calibri"/>
          <w:sz w:val="24"/>
          <w:color w:val="333333"/>
        </w:rPr>
        <w:t xml:space="preserve"> Diagnóstico dos pesos amostrais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Inquérito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Soma dos pesos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Mínimo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Mediana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Máximo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Razão máx/mín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Efeito de desenho de Kish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Vigitel 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35.941.061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266,5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31153,1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PNS 2019 (capitais)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39.166.444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720,5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38840,1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2,62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O efeito de desenho de Kish mede a perda de precisão devida à variabilidade dos pesos: valor 1 indica pesos uniformes. A razão entre o maior e o menor peso quantifica a magnitude da correção que cada inquérito precisa aplicar.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2026-08-04T12:27:52Z</dcterms:created>
  <dcterms:modified xsi:type="dcterms:W3CDTF">2026-08-04T12:27:52Z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