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Tabela S7.</w:t>
      </w:r>
      <w:r>
        <w:rPr>
          <w:rFonts w:ascii="Calibri" w:hAnsi="Calibri"/>
          <w:sz w:val="24"/>
          <w:color w:val="333333"/>
        </w:rPr>
        <w:t xml:space="preserve"> Previsto e observado por região: o resultado negativo da estratificação regional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Região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REQM S0 (simulação)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REQM S2 (simulação)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Redução prevista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Diferença média observada em 2023 (pp)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1,87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 simulação previa ganho maior onde a cobertura de telefonia fixa é menor. A transição real de 2023 inverteu essa ordenação (correlação de Spearman -0,70; com cinco regiões, descritiva e não teste). A hipótese registrada é que a população que ainda mantinha telefonia fixa em 2023 difere daquela de 2019, sobre a qual a simulação foi calibrada.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2026-08-04T12:27:58Z</dcterms:created>
  <dcterms:modified xsi:type="dcterms:W3CDTF">2026-08-04T12:27:58Z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