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4.</w:t>
      </w:r>
      <w:r>
        <w:rPr>
          <w:rFonts w:ascii="Calibri" w:hAnsi="Calibri"/>
          <w:sz w:val="24"/>
          <w:color w:val="333333"/>
        </w:rPr>
        <w:t xml:space="preserve"> Partition of the difference between Vigitel 2019 and PNS 2019 into a non-coverage component and a residual — adults (aged 18 years or over) of the 27 capitals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start w:val="single" w:space="0" w:color="D3D3D3"/>
            </w:tcBorders>
          </w:tcPr>
          <w:p>
            <w:pPr>
              <w:spacing w:before="0" w:after="60"/>
              <w:keepNext/>
              <w:jc w:val="center"/>
            </w:pPr>
            <w:r>
              <w:rPr>
                <w:b w:val="true"/>
                <w:rFonts w:ascii="Calibri" w:hAnsi="Calibri"/>
                <w:sz w:val="20"/>
              </w:rPr>
              <w:t xml:space="preserve">Total gap</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pp</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**Non-coverage</w:t>
            </w:r>
            <w:r>
              <w:rPr>
                <w:vertAlign w:val="superscript"/>
                <w:i/>
                <w:rFonts w:ascii="Calibri" w:hAnsi="Calibri"/>
                <w:sz w:val="20"/>
              </w:rPr>
              <w:t xml:space="default">2</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component**</w:t>
            </w:r>
            <w:r>
              <w:rPr>
                <w:vertAlign w:val="superscript"/>
                <w:i/>
                <w:rFonts w:ascii="Calibri" w:hAnsi="Calibri"/>
                <w:sz w:val="20"/>
              </w:rPr>
              <w:t xml:space="default">2</w:t>
            </w:r>
          </w:p>
        </w:tc>
        <w:tc>
          <w:tcPr>
            <w:tcBorders>
              <w:top w:val="single" w:sz="16" w:space="0" w:color="D3D3D3"/>
              <w:bottom w:val="single" w:sz="16" w:space="0" w:color="BLACK"/>
              <w:end w:val="single" w:space="0" w:color="D3D3D3"/>
            </w:tcBorders>
          </w:tcPr>
          <w:p>
            <w:pPr>
              <w:spacing w:before="0" w:after="60"/>
              <w:keepNext/>
              <w:jc w:val="center"/>
            </w:pPr>
            <w:r>
              <w:rPr>
                <w:rFonts w:ascii="Calibri" w:hAnsi="Calibri"/>
                <w:sz w:val="20"/>
              </w:rPr>
              <w:t xml:space="preserve">pp (95% CI)</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(-2.63 to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(-0.95 to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exceeds the observed gap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 (5.37–7.30)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(-5.83 to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exceeds the observed gap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(1.42–2.56)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(-3.13 to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opposite sign to the gap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(-1.03 to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(0.28–1.67)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opposite sign to the gap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Total gap = prevalence in Vigitel minus prevalence in the PNS, in percentage points. It reproduces the crude difference column of Table 2.</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Component estimated entirely within the PNS (Table 3): the bias that a survey restricted to the landline frame would incur by excluding the population without a landline.</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Residual = total gap minus the non-coverage component, that is, the share of the difference not attributable to telephone non-coverage. It jointly absorbs mode of data collection, self-report, instrument differences, non-response and weight calibration; this design does not allow them to be separated. The interval is obtained by summing the variances of Vigitel and of the corresponding quantity in the PNS, the latter from the same bootstrap that produced the component, so as to respect the correlation between the two parts.</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When the component has the opposite sign to the observed gap, or exceeds it in magnitude, the ratio between the two is no longer interpretable as a fraction and the situation is described in words.</w:t>
            </w:r>
          </w:p>
        </w:tc>
      </w:tr>
      <w:tr>
        <w:trPr>
          <w:cantSplit/>
        </w:trPr>
        <w:tc>
          <w:tcPr>
            <w:gridSpan w:val="6"/>
          </w:tcPr>
          <w:p>
            <w:pPr>
              <w:spacing w:before="0" w:after="60"/>
              <w:keepNext/>
            </w:pPr>
            <w:r>
              <w:rPr>
                <w:vertAlign w:val="superscript"/>
                <w:i/>
                <w:rFonts w:ascii="Calibri" w:hAnsi="Calibri"/>
                <w:sz w:val="20"/>
              </w:rPr>
              <w:t xml:space="default">5</w:t>
            </w:r>
            <w:r>
              <w:rPr>
                <w:rFonts w:ascii="Calibri" w:hAnsi="Calibri"/>
                <w:sz w:val="20"/>
              </w:rPr>
              <w:t xml:space="default">Share of the coverage bias that the Vigitel post-stratification removes, comparing the estimate a landline frame would produce without weighting with the one actually published, taking the PNS as the reference.</w:t>
            </w:r>
          </w:p>
        </w:tc>
      </w:tr>
      <w:tr>
        <w:trPr>
          <w:cantSplit/>
        </w:trPr>
        <w:tc>
          <w:tcPr>
            <w:gridSpan w:val="6"/>
          </w:tcPr>
          <w:p>
            <w:pPr>
              <w:spacing w:before="0" w:after="60"/>
              <w:keepNext/>
            </w:pPr>
            <w:r>
              <w:rPr>
                <w:rFonts w:ascii="Calibri" w:hAnsi="Calibri"/>
                <w:sz w:val="20"/>
              </w:rPr>
              <w:t xml:space="preserve">Sources: Vigitel 2019 (Brazilian Ministry of Health) and National Health Survey (PNS) 2019 (IBGE), restricted to the 26 state capitals and the Federal District. Estimates weighted by the sampling design of each survey. Sign convention: Δ = Vigitel − PNS.</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2026-08-30T20:50:40Z</dcterms:created>
  <dcterms:modified xsi:type="dcterms:W3CDTF">2026-08-30T20:50:40Z</dcterms:modified>
</cp:coreProperties>
</file>

<file path=docProps/custom.xml><?xml version="1.0" encoding="utf-8"?>
<Properties xmlns="http://schemas.openxmlformats.org/officeDocument/2006/custom-properties" xmlns:vt="http://schemas.openxmlformats.org/officeDocument/2006/docPropsVTypes"/>
</file>