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6.</w:t>
      </w:r>
      <w:r>
        <w:rPr>
          <w:rFonts w:ascii="Calibri" w:hAnsi="Calibri"/>
          <w:sz w:val="24"/>
          <w:color w:val="333333"/>
        </w:rPr>
        <w:t xml:space="preserve"> Validation of the prediction against the real transition of the system: difference predicted from 2019 and observed at the adoption of the dual frame in 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Predicted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from 2019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Observed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-1.44 (-2.28 to -0.60)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 (-0.19 to 2.60)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(-0.30 to 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(-0.72 to 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Predicted: the residual estimated in 2019, that is, the difference between the estimate published by Vigitel and the population prevalence measured in the PNS.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Observed: the difference between the legacy design reconstructed within the 2023 edition (landline-frame interviews with the pesorake_fixo weight) and the one published under the dual frame (pesorake weight), holding time constant. Intervals from a bootstrap resampling within each frame, 1,000 replicates, respecting the correlation between the two arms, which share interviews.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Pearson correlation between predicted and observed: 0.93. With four indicators, the correlation is descriptive and does not constitute a hypothesis test.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2026-08-30T20:50:42Z</dcterms:created>
  <dcterms:modified xsi:type="dcterms:W3CDTF">2026-08-30T20:50:42Z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