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Table S1.</w:t>
      </w:r>
      <w:r>
        <w:rPr>
          <w:rFonts w:ascii="Calibri" w:hAnsi="Calibri"/>
          <w:sz w:val="24"/>
          <w:color w:val="333333"/>
        </w:rPr>
        <w:t xml:space="preserve"> Item-equivalence dictionary between the two instruments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Indicator</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PNS</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Vigitel</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Coding adopted</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Observed divergence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P050: Do you currently smoke any tobacco product? [1 = Yes, daily; 2 = Yes, less than daily; 3 = I do not currently smoke;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q60: smoker [1 = yes, daily; 2 = yes, but not daily; 3 = no] — official routine: gen fumante = cond(q60&lt;3 &amp; q60!=., 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 currently smokes (daily or less than daily); 0 = does not smoke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PNS asks about 'any tobacco product'; Vigitel asks about cigarettes. A difference in the scope of the product, not in the structure of the response.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Q00201: Has a doctor ever given you a diagnosis of arterial hypertension (high blood pressure)? [1 = Yes; 2 = No;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q75: high blood pressure [1 = yes; 2 = no; 777 = does not know] — official routine: gen hart = cond((q75 == 1), 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 reported medical diagnosis; 0 = 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PNS has a filter for hypertension occurring exclusively during pregnancy (Q00202), which Vigitel does not have. Vigitel has code 777 'does not know' (44 cases), which the official routine counts as non-cases; in the harmonised version they are removed from the denominator, as with the PNS 'Not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Q03001: Has a doctor ever given you a diagnosis of diabetes? [1 = Yes; 2 = No;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q76: diabetes [1 = yes; 2 = no; 777 = does not know] — official routine: gen diab = cond((q76 == 1), 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 reported medical diagnosis; 0 = 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same pregnancy-related question (Q03002) and the same treatment of code 777 (58 cases) described for hypertension.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N001: In general, how do you rate your health? [1 = Very good; 2 = Good; 3 = Fair; 4 = Poor; 5 = Very poor;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q74: health status [1 = very good; 2 = good; 3 = fair; 4 = poor; 5 = very poor; 777 = does not know; 888 = declined to answer] — official routine: gen saruim = cond(q74 == 4 | q74 == 5, 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 'Poor' or 'Very poor'; 0 = 'Very good', 'Good' or 'Fair'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five-point scale is identical in the two surveys. Vigitel adds codes 777/888 (562 cases), handled as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Education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VDD004A: Highest level of education attained (persons aged 5 years or over), standardised to the nine-year primary school system [1 = No schooling; 2 = Incomplete primary or equivalent; 3 = Complete primary or equivalent; 4 = Incomplete secondary or equivalent; 5 = Complete secondary or equivalent; 6 = Incomplete tertiary or equivalent; 7 = Complete tertiary]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fesc: education (bands of years of schooling) [1 = 0 to 8 years; 2 = 9 to 11 years; 3 = 12 years or more] — official routine: (variavel derivada da base)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 up to complete primary; 9-11 = secondary; 12+ = tertiary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PNS collects level of education; Vigitel collects self-reported years of schooling. The Vigitel bands (0 to 8 / 9 to 11 / 12 or more) place the boundary for complete secondary schooling at 11 years, and the PNS mapping follows that boundary. The alternative under the nine-year system is tested in the sensitivity analysis.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Telephone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A018017 / A018019: Does this household have a conventional landline telephone? | Does this household have a mobile telephone? [1 = Yes; 2 = No; 9 = Not reported | 1 = Yes; 2 = No;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(nao aplicavel): (not applicable) [(not applicable)]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(with or without a mobile) / Mobile only / None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variable exists only in the PNS. It is the basis of the whole non-coverage estimation: Vigitel, by construction, interviews only those who have a telephone.</w:t>
            </w:r>
          </w:p>
        </w:tc>
      </w:tr>
      <w:tr>
        <w:trPr>
          <w:cantSplit/>
        </w:trPr>
        <w:tc>
          <w:tcPr>
            <w:gridSpan w:val="5"/>
          </w:tcPr>
          <w:p>
            <w:pPr>
              <w:spacing w:before="0" w:after="60"/>
              <w:keepNext/>
            </w:pPr>
            <w:r>
              <w:rPr>
                <w:rFonts w:ascii="Calibri" w:hAnsi="Calibri"/>
                <w:sz w:val="20"/>
              </w:rPr>
              <w:t xml:space="preserve">Variable codes and the official Vigitel syntax are reproduced verbatim from the official data dictionaries of each survey. The item wording and the response categories were translated from Portuguese by the authors; the originals are reproduced in the Portuguese version of this supplement.</w:t>
            </w:r>
          </w:p>
        </w:tc>
      </w:tr>
    </w:tbl>
    <w:p>
      <w:pPr>
        <w:pStyle w:val="FirstParagraph"/>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2026-08-30T20:50:47Z</dcterms:created>
  <dcterms:modified xsi:type="dcterms:W3CDTF">2026-08-30T20:50:47Z</dcterms:modified>
</cp:coreProperties>
</file>

<file path=docProps/custom.xml><?xml version="1.0" encoding="utf-8"?>
<Properties xmlns="http://schemas.openxmlformats.org/officeDocument/2006/custom-properties" xmlns:vt="http://schemas.openxmlformats.org/officeDocument/2006/docPropsVTypes"/>
</file>