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S2.</w:t>
      </w:r>
      <w:r>
        <w:rPr>
          <w:rFonts w:ascii="Calibri" w:hAnsi="Calibri"/>
          <w:sz w:val="24"/>
          <w:color w:val="333333"/>
        </w:rPr>
        <w:t xml:space="preserve"> External validation: our own estimates against the published values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Ours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Published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Difference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Poor/very poor self-rated health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Poor/very poor self-rated health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vs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Poor/very poor self-rated health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vs official report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Maximum absolute difference: 0.049 pp in the PNS and 0.046 pp in Vigitel. No discrepancy reaches 0.5 pp.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2026-08-30T20:50:50Z</dcterms:created>
  <dcterms:modified xsi:type="dcterms:W3CDTF">2026-08-30T20:50:50Z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