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S3.</w:t>
      </w:r>
      <w:r>
        <w:rPr>
          <w:rFonts w:ascii="Calibri" w:hAnsi="Calibri"/>
          <w:sz w:val="24"/>
          <w:color w:val="333333"/>
        </w:rPr>
        <w:t xml:space="preserve"> Diagnostics of the sampling weights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Survey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Sum of weights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Minimum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Max/min ratio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Kish design effect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Vigitel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35,941,061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31153.1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PNS 2019 (capitals)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39,166,444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The Kish design effect measures the loss of precision due to the variability of the weights: a value of 1 indicates uniform weights. The ratio between the largest and the smallest weight quantifies the magnitude of the correction each survey needs to apply.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2026-08-30T20:50:51Z</dcterms:created>
  <dcterms:modified xsi:type="dcterms:W3CDTF">2026-08-30T20:50:51Z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