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**Table 1.** Sample characteristics, Vigitel 2019 vs PNS 2019 (adults ≥18 years).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027"/>
        <w:gridCol w:w="1915"/>
        <w:gridCol w:w="2141"/>
      </w:tblGrid>
      <w:tr>
        <w:trPr>
          <w:trHeight w:val="1014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**PNS 2019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(Brazil)**  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= 88,531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**Vigitel 2019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(capitals + DF)**  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= 52,443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17" w:hRule="auto"/>
        </w:trPr>
        body 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Age, years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47.2 (17.1)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54.3 (18.3)</w:t>
            </w:r>
          </w:p>
        </w:tc>
      </w:tr>
      <w:tr>
        <w:trPr>
          <w:trHeight w:val="577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46,869 (52.9%)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34,089 (65.0%)</w:t>
            </w:r>
          </w:p>
        </w:tc>
      </w:tr>
      <w:tr>
        <w:trPr>
          <w:trHeight w:val="616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41,662 (47.1%)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18,354 (35.0%)</w:t>
            </w:r>
          </w:p>
        </w:tc>
      </w:tr>
      <w:tr>
        <w:trPr>
          <w:trHeight w:val="573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Education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≤8 yr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35,572 (40.2%)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11,638 (31.6%)</w:t>
            </w:r>
          </w:p>
        </w:tc>
      </w:tr>
      <w:tr>
        <w:trPr>
          <w:trHeight w:val="616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9–11 yr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12,005 (13.6%)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5,852 (15.9%)</w:t>
            </w:r>
          </w:p>
        </w:tc>
      </w:tr>
      <w:tr>
        <w:trPr>
          <w:trHeight w:val="616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≥12 yr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40,954 (46.3%)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19,289 (52.4%)</w:t>
            </w:r>
          </w:p>
        </w:tc>
      </w:tr>
      <w:tr>
        <w:trPr>
          <w:trHeight w:val="617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Race/colour (self-reported)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White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32,409 (36.6%)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22,663 (43.6%)</w:t>
            </w:r>
          </w:p>
        </w:tc>
      </w:tr>
      <w:tr>
        <w:trPr>
          <w:trHeight w:val="616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Black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10,132 (11.4%)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4,704 (9.1%)</w:t>
            </w:r>
          </w:p>
        </w:tc>
      </w:tr>
      <w:tr>
        <w:trPr>
          <w:trHeight w:val="616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Other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45,981 (51.9%)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24,557 (47.3%)</w:t>
            </w:r>
          </w:p>
        </w:tc>
      </w:tr>
      <w:tr>
        <w:trPr>
          <w:trHeight w:val="573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Residence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Rural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20,311 (22.9%)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(NA%)</w:t>
            </w:r>
          </w:p>
        </w:tc>
      </w:tr>
      <w:tr>
        <w:trPr>
          <w:trHeight w:val="616" w:hRule="auto"/>
        </w:trPr>
        body15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Urban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68,220 (77.1%)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(NA%)</w:t>
            </w:r>
          </w:p>
        </w:tc>
      </w:tr>
      <w:tr>
        <w:trPr>
          <w:trHeight w:val="360" w:hRule="auto"/>
        </w:trPr>
        footer 1
        <w:tc>
          <w:tcPr>
            <w:gridSpan w:val="3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Mean (SD); n (%)</w:t>
            </w:r>
          </w:p>
        </w:tc>
      </w:tr>
    </w:tbl>
    <w:p>
      <w:pPr>
        <w:pStyle w:val="Normal"/>
      </w:pPr>
      <w:r>
        <w:t xml:space="preserve">
Source: Vigitel 2019 (Ministry of Health) and PNS 2019 (IBGE), public-domain microdata. Race aggregated to White/Black/Other due to apparent label inconsistency in Vigitel q69 in 2019.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lshva8</cp:lastModifiedBy>
  <cp:revision>9</cp:revision>
  <dcterms:created xsi:type="dcterms:W3CDTF">2017-02-28T11:18:00Z</dcterms:created>
  <dcterms:modified xsi:type="dcterms:W3CDTF">2026-05-07T09:37:20Z</dcterms:modified>
  <cp:category/>
</cp:coreProperties>
</file>