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Representatividade e viés de não cobertura do Vigitel: resultados</w:t>
      </w:r>
    </w:p>
    <w:p>
      <w:pPr>
        <w:pStyle w:val="Normal"/>
      </w:pPr>
      <w:r>
        <w:t xml:space="preserve">Vigitel 2019 × Pesquisa Nacional de Saúde 2019, adultos de 18 anos ou mais residentes nas 26 capitais estaduais e no Distrito Federal.</w:t>
      </w:r>
    </w:p>
    <w:p>
      <w:pPr>
        <w:pStyle w:val="Normal"/>
      </w:pPr>
      <w:r>
        <w:t xml:space="preserve">Documento gerado automaticamente pelo pipeline de análise: nenhum número deste texto foi digitado, todos são interpolados a partir dos objetos gravados pelos scripts, de modo que a narrativa não pode divergir das tabelas. Cobre o pipeline completo, dos microdados ao material suplementar.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1. Amostras analisadas</w:t>
      </w:r>
    </w:p>
    <w:p>
      <w:pPr>
        <w:pStyle w:val="Normal"/>
      </w:pPr>
      <w:r>
        <w:t xml:space="preserve">A PNS 2019 entrevistou 90.846 moradores selecionados em todo o país. Após restrição a adultos de 18 anos ou mais com peso de morador selecionado válido e ao recorte de capitais, restaram 32.111 registros. O recorte de capitais é exato: a PNS não divulga código de município, mas divulga a variável V0031 (Tipo de área), cuja categoria Capital identifica o universo do Vigitel sem necessidade de aproximação.</w:t>
      </w:r>
    </w:p>
    <w:p>
      <w:pPr>
        <w:pStyle w:val="Normal"/>
      </w:pPr>
      <w:r>
        <w:t xml:space="preserve">O Vigitel 2019 contribuiu com 52.443 entrevistas telefonicas nas mesmas 27 cidades. As estimativas usam o peso de pós-estratificação da edição (pesorake), conforme o desenho declarado pelo Ministério da Saúde: ponderação por faixa etária, escolaridade e sexo, sem estrato e sem unidade primária de amostragem.</w:t>
      </w:r>
    </w:p>
    <w:p>
      <w:pPr>
        <w:pStyle w:val="Normal"/>
      </w:pPr>
      <w:r>
        <w:t xml:space="preserve"/>
      </w:r>
    </w:p>
    <w:p>
      <w:pPr>
        <w:pStyle w:val="TableCaption"/>
      </w:pPr>
      <w:r>
        <w:t xml:space="preserve">Quadro 1. Fluxo amostral da PNS até o recorte analítico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etapa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perda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moradores selecionados (Brasil)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90846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 18 anos ou mais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88531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 peso de morador selecionado valido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88531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residentes em capitais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56420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Fonte: PNS 2019 (IBGE), questionário do morador selecionado.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2. Validação das estimativas contra as fontes oficiais</w:t>
      </w:r>
    </w:p>
    <w:p>
      <w:pPr>
        <w:pStyle w:val="Normal"/>
      </w:pPr>
      <w:r>
        <w:t xml:space="preserve">Antes de qualquer comparação entre inquéritos, as estimativas de cada um foram confrontadas com os valores publicados pelo órgão responsável. Na PNS, as 9 comparações reproduzem as prevalências divulgadas pelo IBGE no SIDRA com diferença máxima de 0,05 ponto percentual. No Vigitel, as 12 comparações reproduzem o relatório oficial da edição com diferença máxima de 0,05 ponto percentual.</w:t>
      </w:r>
    </w:p>
    <w:p>
      <w:pPr>
        <w:pStyle w:val="Normal"/>
      </w:pPr>
      <w:r>
        <w:t xml:space="preserve">A validação não foi um carimbo: ela detectou um erro de codificação. As prevalências publicadas pelo IBGE só são reproduzidas quando (i) se exclui o caso exclusivamente gestacional de hipertensão e de diabetes e (ii) o não-respondente permanece no denominador como não-caso. Sem essas duas regras, a estimativa de hipertensão em mulheres erra 3,2 pontos percentuais. Essa é a mesma convenção adotada pelas rotinas oficiais do Vigitel, nas quais a resposta 'não sabe' conta como não-caso: os dois inquéritos concordam na convenção, e adotá-la torna as estimativas simultaneamente comparáveis entre si e reprodutíveis contra o que cada órgão publica.</w:t>
      </w:r>
    </w:p>
    <w:p>
      <w:pPr>
        <w:pStyle w:val="Normal"/>
      </w:pPr>
      <w:r>
        <w:t xml:space="preserve"/>
      </w:r>
    </w:p>
    <w:p>
      <w:pPr>
        <w:pStyle w:val="TableCaption"/>
      </w:pPr>
      <w:r>
        <w:t xml:space="preserve">Quadro 2. PNS 2019: estimativas próprias contra os valores publicados no SIDRA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indicador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ours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low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upp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published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diferenca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dentro_do_IC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Hipertensao (Q00201)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Hipertensao (Q00201)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Hipertensao (Q00201)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(Q03001)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(Q03001)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(Q03001)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Saude ruim/muito ruim (N001)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Saude ruim/muito ruim (N001)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Saude ruim/muito ruim (N001)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Tabelas SIDRA 4418 (hipertensão), 4487 (diabetes) e 7666 (autoavaliação do estado de saúde), nível Brasil, pessoas de 18 anos ou mais. Não há tabela de tabagismo em adultos para a PNS no SIDRA.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</w:pPr>
      <w:r>
        <w:t xml:space="preserve">Quadro 3. Vigitel 2019: estimativas próprias contra o relatório oficial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indicador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ours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low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upp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published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diferenca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dentro_do_IC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(fumante)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(fumante)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(fumante)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Hipertensao (hart)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Hipertensao (hart)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Hipertensao (hart)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(diab)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(diab)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(diab)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Saude ruim (saruim)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Saude ruim (saruim)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Saude ruim (saruim)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Valores de referência extraídos do texto do relatório Vigitel Brasil 2019, conjunto das 27 cidades.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Uma terceira conferência, independente das duas anteriores, comparou nossa codificação dos quatro desfechos com os indicadores já calculados pelo Ministério da Saúde e distribuídos no próprio arquivo de microdados. Não houve divergência em nenhum dos 52.443 registros.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3. Características das amostras</w:t>
      </w:r>
    </w:p>
    <w:p>
      <w:pPr>
        <w:pStyle w:val="Normal"/>
      </w:pPr>
      <w:r>
        <w:t xml:space="preserve">As duas amostras são próximas em sexo, escolaridade, raça/cor e região, e divergem apenas na estrutura etária. Das 22 linhas comparadas, 3 apresentam diferença padronizada de magnitude igual ou superior a 0,10, e todas elas são de idade.</w:t>
      </w:r>
    </w:p>
    <w:p>
      <w:pPr>
        <w:pStyle w:val="Normal"/>
      </w:pPr>
      <w:r>
        <w:t xml:space="preserve">Essa concordância não deve ser lida como evidência de que as populações cobertas sejam equivalentes. O peso do Vigitel é calibrado justamente por faixa etária, escolaridade e sexo, de modo que a semelhança nessas variáveis é consequência da calibragem, e não um achado. As variáveis que carregam informação independente são raça/cor e região, e nelas os dois inquéritos concordam.</w:t>
      </w:r>
    </w:p>
    <w:p>
      <w:pPr>
        <w:pStyle w:val="Normal"/>
      </w:pPr>
      <w:r>
        <w:t xml:space="preserve"/>
      </w:r>
    </w:p>
    <w:p>
      <w:pPr>
        <w:pStyle w:val="TableCaption"/>
      </w:pPr>
      <w:r>
        <w:t xml:space="preserve">Tabela 1. Características das amostras de adultos (≥18 anos) das 27 capitais, Vigitel 2019 e PNS 2019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Vigitel 2019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% (IC 95%)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= 52.443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Idade, anos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Média (DP)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42,7 (16,7)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44,9 (17,3)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-0,13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Sexo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46,0 (45,0–46,9)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45,1 (44,2–46,0)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54,0 (53,1–55,0)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54,9 (54,0–55,8)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Faixa etária, anos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18-24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13,8 (13,1–14,4)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13,9 (13,2–14,7)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25-34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25,0 (24,1–26,1)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18,5 (17,7–19,2)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0,16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35-44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 (18,1–19,6)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20,1 (19,4–20,8)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45-54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17,9 (17,2–18,6)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 (16,5–17,8)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55-64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13,1 (12,6–13,6)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15,3 (14,7–15,9)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11,4 (11,0–11,7)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15,0 (14,4–15,7)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-0,11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Escolaridade, anos de estudo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28,8 (27,9–29,7)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27,7 (26,7–28,6)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9-11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38,4 (37,5–39,3)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38,6 (37,6–39,6)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32,8 (31,9–33,7)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33,7 (32,4–35,1)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Raça/cor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Branca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43,8 (42,9–44,8)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43,8 (42,7–44,9)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11,4 (10,7–12,1)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12,5 (11,8–13,1)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42,7 (41,7–43,7)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41,7 (40,7–42,7)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Amarela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 (0,7–1,0)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 (1,2–1,6)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 (1,0–1,4)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 (0,5–0,9)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Região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10,4 (10,0–10,7)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 (10,3–11,2)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25,2 (24,6–25,9)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25,0 (24,2–25,8)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44,6 (43,6–45,6)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44,4 (43,3–45,6)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 (7,7–8,4)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 (7,5–8,5)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11,7 (11,3–12,3)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11,8 (11,3–12,4)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-0,00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Estimativas ponderadas pelo desenho de cada inquérito. A linha de idade traz média e desvio-padrão ponderados; as demais, percentual com intervalo de confiança de 95%.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SMD = diferença padronizada entre os dois inquéritos, calculada linha a linha (proporções) ou sobre média e desvio-padrão (idade). Valores com |SMD| ≥ 0,10 estão destacados.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O peso de pós-estratificação do Vigitel é calibrado por faixa etária, escolaridade e sexo (Ministério da Saúde, Orientações para análises de dados do Vigitel, item 4.5). SMD próxima de zero nessas três variáveis decorre da calibragem e não indica que as populações cobertas sejam equivalentes. Raça/cor e região não entram na calibragem.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Fontes: Vigitel 2019 (Ministério da Saúde) e PNS 2019 (IBGE), restrita às capitais e ao Distrito Federal. Casos sem resposta foram excluídos do denominador da respectiva variável.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3.1 Estrutura etária: conferência contra o Censo</w:t>
      </w:r>
    </w:p>
    <w:p>
      <w:pPr>
        <w:pStyle w:val="Normal"/>
      </w:pPr>
      <w:r>
        <w:t xml:space="preserve">O achado de idade merece atenção porque a faixa etária entra na calibragem do Vigitel e, ainda assim, é a única variável que destoa. Confrontadas com a estrutura etária da população adulta das 27 capitais no Censo 2022, as duas distribuições ponderadas se comportam de forma muito diferente: o desvio absoluto máximo é de 5,1 pontos percentuais no Vigitel, contra 1,5 ponto percentual na PNS. O Vigitel ponderado sobrerrepresenta a faixa de 25 a 34 anos e sub-representa a de 65 anos ou mais.</w:t>
      </w:r>
    </w:p>
    <w:p>
      <w:pPr>
        <w:pStyle w:val="Normal"/>
      </w:pPr>
      <w:r>
        <w:t xml:space="preserve">A explicação é documentada pelo próprio Ministério da Saúde: o peso da edição 2019 foi calibrado pelas projeções populacionais de base 2010, que o Censo 2022 mostrou estarem defasadas. Foi por essa razão que o órgão publicou posteriormente o peso 'pesorake2025', recalibrando as edições de 2010 a 2024 pelo Censo 2022. Este estudo mantém o peso da edição, por ser ele que reproduz o relatório publicado do ano e por ser contemporâneo da calibragem da PNS 2019, e trata a distorção etária por padronização direta (seção 4.2).</w:t>
      </w:r>
    </w:p>
    <w:p>
      <w:pPr>
        <w:pStyle w:val="Normal"/>
      </w:pPr>
      <w:r>
        <w:t xml:space="preserve"/>
      </w:r>
    </w:p>
    <w:p>
      <w:pPr>
        <w:pStyle w:val="TableCaption"/>
      </w:pPr>
      <w:r>
        <w:t xml:space="preserve">Quadro 4. Distribuição etária ponderada de cada inquérito contra o Censo 2022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age_grp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censo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vigitel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pns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dif_vigitel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dif_pns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18-24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25-34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35-44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45-54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55-64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Valores em percentual da população adulta das 27 capitais. As colunas de diferença são em pontos percentuais, com sinal positivo indicando sobrerrepresentação em relação ao Censo.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4. Prevalências e diferenças entre os inquéritos</w:t>
      </w:r>
    </w:p>
    <w:p>
      <w:pPr>
        <w:pStyle w:val="Normal"/>
      </w:pPr>
      <w:r>
        <w:t xml:space="preserve">A diferença entre os inquéritos é definida, em todo o estudo, como Δ = Vigitel − PNS: valor negativo indica prevalência menor no Vigitel. Dos quatro indicadores, 2 apresentam diferença estatisticamente distinguível de zero após correção de Holm.</w:t>
      </w:r>
    </w:p>
    <w:p>
      <w:pPr>
        <w:pStyle w:val="Normal"/>
      </w:pPr>
      <w:r>
        <w:t xml:space="preserve">O sentido da diferença não é o mesmo para todos os indicadores. O Vigitel estima prevalência MENOR de tabagismo atual (-1,58 (-2,45 a -0,71) pontos percentuais) e prevalência MAIOR de hipertensão arterial (2,08 (1,02–3,13) pontos percentuais). Para diabetes (-0,21 (-0,82 a 0,41)) e para a autoavaliação ruim do estado de saúde (0,37 (-0,15 a 0,90)), a diferença não se distingue de zero. Não há, portanto, subestimação sistemática: há divergência específica por indicador, em sentidos opostos.</w:t>
      </w:r>
    </w:p>
    <w:p>
      <w:pPr>
        <w:pStyle w:val="Normal"/>
      </w:pPr>
      <w:r>
        <w:t xml:space="preserve"/>
      </w:r>
    </w:p>
    <w:p>
      <w:pPr>
        <w:pStyle w:val="TableCaption"/>
      </w:pPr>
      <w:r>
        <w:t xml:space="preserve">Tabela 2. Prevalência dos indicadores em adultos (≥18 anos) das 27 capitais, Vigitel 2019 e PNS 2019, com diferença absoluta e razão de prevalências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Vigitel 2019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% (IC 95%)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PNS 2019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% (IC 95%)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Δ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pp (IC 95%)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RP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Tabagismo atual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9,8 (9,2–10,5)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11,4 (10,8–12,0)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-1,6 (-2,4 a -0,7)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0,86 (0,79–0,94)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12,3 (11,2–13,5)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14,4 (13,4–15,4)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-2,1 (-3,6 a -0,5)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0,86 (0,76–0,96)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 (7,1–8,4)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 (8,3–9,7)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-1,3 (-2,2 a -0,3)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0,86 (0,77–0,96)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24,5 (23,8–25,3)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22,4 (21,7–23,2)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 (1,0–3,1)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 (1,04–1,14)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21,2 (20,1–22,4)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20,1 (19,1–21,2)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 (-0,5 a 2,7)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1,05 (0,98–1,14)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27,3 (26,4–28,3)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24,4 (23,4–25,4)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 (1,6–4,4)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1,12 (1,06–1,18)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 (7,0–7,9)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 (7,2–8,1)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 (-0,8 a 0,4)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0,97 (0,90–1,06)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 (6,4–7,8)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 (6,5–7,9)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-0,1 (-1,1 a 0,9)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0,99 (0,86–1,13)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 (7,3–8,3)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 (7,5–8,7)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-0,3 (-1,1 a 0,5)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0,97 (0,87–1,07)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 (4,4–5,2)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 (4,1–4,8)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 (-0,2 a 0,9)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1,08 (0,97–1,21)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 (2,9–4,0)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 (3,0–3,9)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 (-0,7 a 0,7)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0,99 (0,81–1,22)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 (5,5–6,6)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 (4,8–5,8)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 (-0,0 a 1,5)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1,14 (1,00–1,30)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Δ = Vigitel − PNS, em pontos percentuais. Valor negativo indica prevalência menor no Vigitel.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RP = razão de prevalências (Vigitel / PNS). Intervalo de confiança pelo método delta na escala logarítmica.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Teste bilateral de H0: Δ = 0, tratando os dois inquéritos como amostras independentes, com correção de Holm sobre os quatro testes principais (linhas Total). As linhas por sexo não entram na correção; a assimetria entre sexos é avaliada pelo teste de interação, em nota de cada indicador.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Interação sexo × inquérito: p = 0,882 (p de Holm = 1,000), de modelo logístico sobre os dados empilhados com o desenho de cada inquérito preservado.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5</w:t>
            </w:r>
            <w:r>
              <w:rPr>
                <w:rFonts w:ascii="Calibri" w:hAnsi="Calibri"/>
                <w:sz w:val="20"/>
              </w:rPr>
              <w:t xml:space="default">Interação sexo × inquérito: p = 0,142 (p de Holm = 0,568), de modelo logístico sobre os dados empilhados com o desenho de cada inquérito preservado.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6</w:t>
            </w:r>
            <w:r>
              <w:rPr>
                <w:rFonts w:ascii="Calibri" w:hAnsi="Calibri"/>
                <w:sz w:val="20"/>
              </w:rPr>
              <w:t xml:space="default">Interação sexo × inquérito: p = 0,809 (p de Holm = 1,000), de modelo logístico sobre os dados empilhados com o desenho de cada inquérito preservado.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7</w:t>
            </w:r>
            <w:r>
              <w:rPr>
                <w:rFonts w:ascii="Calibri" w:hAnsi="Calibri"/>
                <w:sz w:val="20"/>
              </w:rPr>
              <w:t xml:space="default">Interação sexo × inquérito: p = 0,250 (p de Holm = 0,751), de modelo logístico sobre os dados empilhados com o desenho de cada inquérito preservado.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Fontes: Vigitel 2019 (Ministério da Saúde) e PNS 2019 (IBGE), restrita às capitais e ao Distrito Federal. Definições dos indicadores e equivalência das perguntas na Tabela S1. Estimativas ponderadas pelo desenho de cada inquérito.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4.1 Assimetria entre sexos</w:t>
      </w:r>
    </w:p>
    <w:p>
      <w:pPr>
        <w:pStyle w:val="Normal"/>
      </w:pPr>
      <w:r>
        <w:t xml:space="preserve">A leitura por sexo sugere assimetria em hipertensão: a diferença é de 1,11 (-0,45 a 2,66) pontos percentuais em homens e de 2,98 (1,60–4,35) em mulheres. O teste formal, porém, não a confirma. Em modelo logístico ajustado sobre os dados empilhados, com o desenho de cada inquérito preservado, o termo de interação sexo × inquérito tem p = 0,142; nenhum dos quatro indicadores apresenta interação significativa, antes ou depois da correção de Holm.</w:t>
      </w:r>
    </w:p>
    <w:p>
      <w:pPr>
        <w:pStyle w:val="Normal"/>
      </w:pPr>
      <w:r>
        <w:t xml:space="preserve">A discrepância entre a leitura visual e o teste formal é esperada: intervalos de confiança que não se sobrepõem em subgrupos não equivalem a um teste de interação, e a comparação visual tende a superestimar a evidência de modificação de efeito.</w:t>
      </w:r>
    </w:p>
    <w:p>
      <w:pPr>
        <w:pStyle w:val="Normal"/>
      </w:pPr>
      <w:r>
        <w:t xml:space="preserve"/>
      </w:r>
    </w:p>
    <w:p>
      <w:pPr>
        <w:pStyle w:val="TableCaption"/>
      </w:pPr>
      <w:r>
        <w:t xml:space="preserve">Quadro 5. Teste de interação sexo × inquérito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label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beta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p_int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p_int_holm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Coeficiente do termo de interação em modelo logístico com desenho complexo, categoria de referência PNS e sexo masculino. Correção de Holm sobre os quatro testes.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4.2 Sensibilidade: diferença padronizada por idade</w:t>
      </w:r>
    </w:p>
    <w:p>
      <w:pPr>
        <w:pStyle w:val="Normal"/>
      </w:pPr>
      <w:r>
        <w:t xml:space="preserve">Para separar o que da diferença decorre da composição etária, as prevalências dos dois inquéritos foram padronizadas diretamente para a mesma estrutura de idade, a da população adulta das 27 capitais no Censo 2022. O efeito não é homogêneo entre indicadores.</w:t>
      </w:r>
    </w:p>
    <w:p>
      <w:pPr>
        <w:pStyle w:val="Normal"/>
      </w:pPr>
      <w:r>
        <w:t xml:space="preserve">Em tabagismo, a padronização praticamente não altera a diferença (-1,58 para -1,58 pontos percentuais). Em hipertensão, ao contrário, a diferença mais que dobra, de 2,08 para 4,66 pontos percentuais; e em diabetes ela passa de -0,21, indistinguível de zero, para 0,88 pontos percentuais, com intervalo de confiança excluindo zero. A distorção etária do Vigitel estava mascarando parte da superestimação: como a amostra ponderada é mais jovem que a população, e como hipertensão e diabetes aumentam acentuadamente com a idade, a prevalência bruta do Vigitel vem puxada para baixo.</w:t>
      </w:r>
    </w:p>
    <w:p>
      <w:pPr>
        <w:pStyle w:val="Normal"/>
      </w:pPr>
      <w:r>
        <w:t xml:space="preserve"/>
      </w:r>
    </w:p>
    <w:p>
      <w:pPr>
        <w:pStyle w:val="TableCaption"/>
      </w:pPr>
      <w:r>
        <w:t xml:space="preserve">Quadro 6. Diferença bruta e padronizada por idade (padrão: Censo 2022)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label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delta_bruto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delta_padr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delta_padr_low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delta_padr_upp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mudanca_pp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Valores em pontos percentuais, na convenção Δ = Vigitel − PNS. Padronização direta; variância pela soma ponderada das variâncias dentro de cada faixa etária.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5. Viés de não cobertura da telefonia fixa</w:t>
      </w:r>
    </w:p>
    <w:p>
      <w:pPr>
        <w:pStyle w:val="Normal"/>
      </w:pPr>
      <w:r>
        <w:t xml:space="preserve">Esta é a estimação central do estudo, e ela acontece inteiramente dentro da PNS: nenhuma quantidade desta seção depende de dado do Vigitel. A PNS observa quem tem e quem não tem telefone fixo no domicílio, o que permite calcular o viés que um inquérito restrito ao quadro de telefonia fixa sofreria por excluir a população sem fixo.</w:t>
      </w:r>
    </w:p>
    <w:p>
      <w:pPr>
        <w:pStyle w:val="Normal"/>
      </w:pPr>
      <w:r>
        <w:t xml:space="preserve">Nas 27 capitais, 60,3% da população adulta vive em domicílio sem telefone fixo, e essa proporção varia de 48,1% no Sul a 83,7% no Norte. A magnitude e o sentido do viés seguem a direção do gradiente de cada indicador: quem tem telefone fixo é mais velho e mais escolarizado, portanto fuma menos e recebe mais diagnósticos de doença crônica.</w:t>
      </w:r>
    </w:p>
    <w:p>
      <w:pPr>
        <w:pStyle w:val="Normal"/>
      </w:pPr>
      <w:r>
        <w:t xml:space="preserve">O viés é negativo para tabagismo (-1,84 pontos percentuais) e positivo para hipertensão (6,33) e diabetes (1,99). Em hipertensão, ele chega a 9,24 pontos percentuais no Norte, onde a cobertura de telefonia fixa é a menor do país.</w:t>
      </w:r>
    </w:p>
    <w:p>
      <w:pPr>
        <w:pStyle w:val="Normal"/>
      </w:pPr>
      <w:r>
        <w:t xml:space="preserve">O vício relativo de Cochran ultrapassa o limiar de 0,40 em 24 das 24 células da tabela, com valores de 1,58 a 24,14. Ou seja: o viés de não cobertura não é pequeno em relação ao erro amostral — ele o supera em uma ou duas ordens de grandeza, e a cobertura nominal de 95% dos intervalos publicados não se sustenta sob esse viés. A versão por região consta da Tabela S3, e o perfil sociodemográfico de cada grupo de posse, da Tabela S2 e da Figura S1.</w:t>
      </w:r>
    </w:p>
    <w:p>
      <w:pPr>
        <w:pStyle w:val="Normal"/>
      </w:pPr>
      <w:r>
        <w:t xml:space="preserve"/>
      </w:r>
    </w:p>
    <w:p>
      <w:pPr>
        <w:pStyle w:val="TableCaption"/>
      </w:pPr>
      <w:r>
        <w:t xml:space="preserve">Tabela 3. Viés de não cobertura da telefonia fixa, estimado dentro da PNS 2019, por indicador e região — adultos (≥18 anos) das 27 capitais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Com telefone fixo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% (IC 95%)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Sem telefone fixo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% (IC 95%)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Sem fixo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% da população (IC 95%)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Viés de não cobertura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pp (IC 95%)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capitais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9,6 (8,6–10,6)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12,6 (11,9–13,4)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60,3 (59,2–61,5)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-1,84 (-2,63 a -1,05)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5,64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 (2,8–6,1)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 (7,9–9,9)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83,7 (82,2–85,2)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-3,77 (-5,35 a -2,19)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11,57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 (4,7–7,8)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9,9 (8,9–10,8)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75,6 (73,9–77,4)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-2,72 (-4,07 a -1,38)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8,36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 (8,8–12,1)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15,4 (13,6–17,1)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48,7 (46,4–50,9)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-2,37 (-3,59 a -1,14)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7,27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12,0 (10,0–14,1)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17,4 (15,1–19,7)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48,1 (44,5–51,8)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-2,57 (-4,06 a -1,09)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7,89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9,3 (7,7–10,8)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13,8 (12,3–15,3)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59,0 (56,7–61,3)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-2,70 (-3,97 a -1,43)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8,28 *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capitais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28,8 (27,4–30,2)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18,3 (17,5–19,1)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60,3 (59,2–61,5)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6,33 (5,37–7,30)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16,55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26,0 (21,9–30,0)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14,9 (13,6–16,2)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83,7 (82,2–85,2)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9,24 (5,63–12,85)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24,14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28,9 (26,2–31,6)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20,7 (19,4–21,9)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75,6 (73,9–77,4)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6,25 (4,02–8,47)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16,33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30,0 (27,8–32,1)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18,1 (16,4–19,7)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48,7 (46,4–50,9)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5,79 (4,43–7,15)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15,13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29,0 (26,0–32,0)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 (15,0–19,2)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48,1 (44,5–51,8)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5,70 (3,98–7,43)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14,90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23,9 (21,6–26,2)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17,5 (16,0–19,0)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59,0 (56,7–61,3)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3,76 (2,10–5,42)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9,82 *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capitais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9,6 (8,8–10,5)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 (5,9–6,8)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60,3 (59,2–61,5)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1,99 (1,42–2,56)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9,26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 (4,9–8,2)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 (4,7–6,3)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83,7 (82,2–85,2)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0,86 (-0,68 a 2,40)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4,01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 (9,0–13,0)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 (6,3–8,0)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75,6 (73,9–77,4)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2,93 (1,32–4,53)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13,65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 (9,0–11,6)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 (5,2–7,2)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48,7 (46,4–50,9)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2,00 (1,20–2,79)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9,31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 (5,1–8,5)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 (3,7–7,0)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48,1 (44,5–51,8)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0,71 (-0,45 a 1,86)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3,29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 (7,2–9,7)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 (5,3–7,4)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59,0 (56,7–61,3)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1,24 (0,30–2,17)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5,78 *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capitais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 (3,3–4,4)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 (4,4–5,3)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60,3 (59,2–61,5)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-0,60 (-1,03 a -0,18)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3,04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 (1,6–4,6)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 (3,9–5,2)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83,7 (82,2–85,2)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-1,21 (-2,61 a 0,19)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6,10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 (2,8–5,2)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 (6,0–7,8)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75,6 (73,9–77,4)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-2,18 (-3,32 a -1,05)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11,00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 (3,1–4,9)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 (2,6–4,0)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48,7 (46,4–50,9)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0,31 (-0,23 a 0,86)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1,58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 (2,4–4,5)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 (2,8–5,8)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48,1 (44,5–51,8)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-0,42 (-1,34 a 0,50)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2,13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 (2,8–4,6)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 (3,7–5,6)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59,0 (56,7–61,3)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-0,55 (-1,33 a 0,24)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2,75 *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Viés de não cobertura = (proporção sem telefone fixo) × (prevalência entre quem tem fixo − prevalência entre quem não tem). Valor positivo indica que um inquérito restrito ao quadro de telefonia fixa superestimaria a prevalência populacional; negativo, que subestimaria.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Vício relativo de Cochran = |viés| dividido pelo erro-padrão da estimativa. Acima de 0,40 o nível nominal de 95% dos intervalos se degrada de forma perceptível; os valores acima desse limiar estão marcados com asterisco (24 de 24 células). A razão apresentada usa o erro-padrão que o Vigitel efetivamente tem para o indicador, que é a leitura operacional do critério. A razão calculada com o erro-padrão interno da PNS consta do material suplementar.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Fonte: PNS 2019 (IBGE), adultos residentes nas 26 capitais e no Distrito Federal. Nenhuma quantidade desta tabela depende do Vigitel: a estimação é inteiramente interna à PNS. Intervalos de confiança do viés por bootstrap de Rao-Wu sobre o desenho amostral, com 1.000 réplicas e semente fixa.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6. Partição do gap entre não cobertura e resíduo</w:t>
      </w:r>
    </w:p>
    <w:p>
      <w:pPr>
        <w:pStyle w:val="Normal"/>
      </w:pPr>
      <w:r>
        <w:t xml:space="preserve">A diferença observada entre os dois inquéritos é decomposta em duas parcelas: o componente de não cobertura, estimado na seção anterior, e o resíduo, que é o que sobra. O resíduo é deliberadamente chamado de resíduo, e não de efeito de modo: ele absorve conjuntamente modo de coleta, autorrelato, diferenças de instrumento, não resposta e calibragem de pesos, e este desenho não permite separá-los.</w:t>
      </w:r>
    </w:p>
    <w:p>
      <w:pPr>
        <w:pStyle w:val="Normal"/>
      </w:pPr>
      <w:r>
        <w:t xml:space="preserve">O resultado é contraintuitivo e merece leitura cuidadosa: em nenhum dos quatro indicadores o componente de não cobertura é uma fração do gap observado. Em tabagismo e hipertensão ele EXCEDE o gap (-1,84 contra -1,58 pontos percentuais; 6,33 contra 2,08); em diabetes e autoavaliação de saúde ele tem sinal OPOSTO ao gap. Em todos os casos, o resíduo atua em sentido contrário ao da não cobertura, compensando-a parcialmente.</w:t>
      </w:r>
    </w:p>
    <w:p>
      <w:pPr>
        <w:pStyle w:val="Normal"/>
      </w:pPr>
      <w:r>
        <w:t xml:space="preserve">A interpretação natural é que a pós-estratificação do Vigitel já remove boa parte do viés de não cobertura. O gap que sobrevive nas estimativas publicadas é, portanto, menor do que o viés bruto de cobertura — e o que resta não é atribuível à cobertura telefônica. A Figura S3 mostra que essa compensação ocorre em todas as regiões, com magnitude variável.</w:t>
      </w:r>
    </w:p>
    <w:p>
      <w:pPr>
        <w:pStyle w:val="Normal"/>
      </w:pPr>
      <w:r>
        <w:t xml:space="preserve"/>
      </w:r>
    </w:p>
    <w:p>
      <w:pPr>
        <w:pStyle w:val="TableCaption"/>
      </w:pPr>
      <w:r>
        <w:t xml:space="preserve">Tabela 4. Partição da diferença entre Vigitel 2019 e PNS 2019 em componente de não cobertura e resíduo — adultos (≥18 anos) das 27 capitais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Gap total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pp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**Componente de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não cobertura**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-1,84 (-2,63 a -1,05)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0,26 (-0,95 a 1,47)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excede o gap observado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6,33 (5,37–7,30)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-4,25 (-5,83 a -2,68)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excede o gap observado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1,99 (1,42–2,56)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-2,19 (-3,13 a -1,25)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sinal oposto ao gap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-0,60 (-1,03 a -0,18)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0,97 (0,28–1,67)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sinal oposto ao gap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Gap total = prevalência no Vigitel − prevalência na PNS, em pontos percentuais. Reproduz exatamente a coluna Δ da Tabela 2.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Componente de não cobertura estimado inteiramente dentro da PNS (Tabela 3): é o viés que um inquérito restrito ao quadro de telefonia fixa sofreria por excluir a população sem telefone fixo. Não depende de nenhum dado do Vigitel.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Resíduo = gap total − componente de não cobertura, isto é, a parcela da diferença não atribuível à não cobertura telefônica. O resíduo absorve conjuntamente efeito de modo de coleta, autorrelato, diferenças de instrumento, não resposta e calibragem de pesos; este desenho não permite separá-los. Intervalo de confiança pela soma das variâncias do Vigitel e da quantidade correspondente na PNS, esta última obtida no mesmo bootstrap que gerou o componente, de modo a respeitar a correlação entre as duas parcelas.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Quando o componente de não cobertura tem sinal oposto ao gap observado, ou o excede em magnitude, a razão entre os dois deixa de ser interpretável como fração e a situação é descrita em palavras. Componente maior que o gap indica que outras fontes atuam em sentido contrário ao da não cobertura, compensando-a parcialmente.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Fontes: Vigitel 2019 (Ministério da Saúde) e PNS 2019 (IBGE), adultos das 26 capitais e do Distrito Federal. Convenção de sinal: Δ = Vigitel − PNS.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7. Simulação de cenários de quadro amostral</w:t>
      </w:r>
    </w:p>
    <w:p>
      <w:pPr>
        <w:pStyle w:val="Normal"/>
      </w:pPr>
      <w:r>
        <w:t xml:space="preserve">A simulação, no arcabouço ADEMP, compara cinco cenários de quadro amostral sobre uma pseudopopulação construída a partir da PNS de capitais expandida pelos pesos, com 1.000 réplicas por cenário, região e indicador. A posse de telefone não é simulada: usa-se a posse observada na PNS, de modo que a dependência entre posse, características sociodemográficas e desfecho é a real. Os parâmetros do mecanismo gerador estão na Tabela S6.</w:t>
      </w:r>
    </w:p>
    <w:p>
      <w:pPr>
        <w:pStyle w:val="Normal"/>
      </w:pPr>
      <w:r>
        <w:t xml:space="preserve">A cobertura do quadro de telefonia fixa é de 16,3% a 51,9% conforme a região, contra 96,9% ou mais do quadro de telefonia móvel. A conferência com a PNAD Contínua TIC do mesmo ano confirma essas cifras a partir de fonte independente.</w:t>
      </w:r>
    </w:p>
    <w:p>
      <w:pPr>
        <w:pStyle w:val="Normal"/>
      </w:pPr>
      <w:r>
        <w:t xml:space="preserve">O ganho de sair do quadro exclusivamente fixo é grande, mas profundamente desigual entre regiões — e é por isso que a estratificação regional não é opcional. A raiz do erro quadrático médio cai por um fator de 6,1 no Norte e de 2,9 no Nordeste ao passar do cenário S0 para o S1, contra apenas 1,5 no Sudeste. Agregar as regiões faria essa heterogeneidade desaparecer e levaria a uma conclusão errada.</w:t>
      </w:r>
    </w:p>
    <w:p>
      <w:pPr>
        <w:pStyle w:val="Normal"/>
      </w:pPr>
      <w:r>
        <w:t xml:space="preserve">Os cenários seguintes trazem ganhos marginais: incorporar web (S3) ou cobertura integral (S4) melhora pouco além do que a telefonia móvel já alcança, porque o celular sozinho já cobre mais de 96% da população adulta das capitais. Em algumas regiões o cenário dual-frame é ligeiramente pior que o de celular apenas para determinados indicadores — resultado legítimo, não anomalia: reintroduzir o quadro fixo adiciona pouca cobertura e devolve parte do desequilíbrio de composição. Os resultados completos, com erro de Monte Carlo, estão na Tabela S7, e o viés por cenário e região, na Figura S2.</w:t>
      </w:r>
    </w:p>
    <w:p>
      <w:pPr>
        <w:pStyle w:val="Normal"/>
      </w:pPr>
      <w:r>
        <w:t xml:space="preserve"/>
      </w:r>
    </w:p>
    <w:p>
      <w:pPr>
        <w:pStyle w:val="ImageCaption"/>
      </w:pPr>
      <w:r>
        <w:t xml:space="preserve">Figura 2. Raiz do erro quadrático médio por cenário de quadro amostral, região e indicador.</w:t>
      </w:r>
    </w:p>
    <w:p>
      <w:pPr>
        <w:pStyle w:val="Normal"/>
      </w:pPr>
      <w:r>
        <w:rPr/>
        <w:drawing>
          <wp:inline distT="0" distB="0" distL="0" distR="0">
            <wp:extent cx="5943600" cy="329184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45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8. Análises de sensibilidade</w:t>
      </w:r>
    </w:p>
    <w:p>
      <w:pPr>
        <w:pStyle w:val="Normal"/>
      </w:pPr>
      <w:r>
        <w:t xml:space="preserve">A obesidade foi tratada separadamente porque o instrumento difere de forma qualitativa: o Vigitel calcula o índice de massa corporal a partir de peso e altura declarados por telefone. Comparando medidas declaradas nos dois inquéritos, a diferença é de -0,29 pontos percentuais; comparando a estimativa declarada do Vigitel com a medida aferida da PNS, -0,90. O viés do próprio autorrelato, medido dentro da PNS entre declarado e aferido, é de -0,61 pontos percentuais — maior que o viés de não cobertura de qualquer dos outros indicadores. A Tabela S4 traz o detalhamento; a subamostra de antropometria é pequena e sustenta a direção do efeito, não a magnitude precisa.</w:t>
      </w:r>
    </w:p>
    <w:p>
      <w:pPr>
        <w:pStyle w:val="Normal"/>
      </w:pPr>
      <w:r>
        <w:t xml:space="preserve">A Tabela S5 mostra que a associação entre desfecho e posse de telefone se aproxima de 1 conforme se acrescentam as variáveis de calibragem do Vigitel, e que a conclusão não depende do mapeamento de escolaridade adotado. Para hipertensão e diabetes, a associação residual às variáveis de calibragem não é distinguível de zero (razão de chances 1,09 e 0,95), o que explica por que a pós-estratificação alcança o viés desses indicadores. Para tabagismo e autoavaliação de saúde a associação residual persiste, e com ela parte do viés.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9. Divergências em relação à versão anterior do manuscrito</w:t>
      </w:r>
    </w:p>
    <w:p>
      <w:pPr>
        <w:pStyle w:val="Normal"/>
      </w:pPr>
      <w:r>
        <w:t xml:space="preserve">Estes resultados divergem da versão anterior do manuscrito em dois pontos que afetam a conclusão, e a divergência precisa ser resolvida antes da submissão.</w:t>
      </w:r>
    </w:p>
    <w:p>
      <w:pPr>
        <w:pStyle w:val="Normal"/>
      </w:pPr>
      <w:r>
        <w:t xml:space="preserve">Primeiro, a versão anterior afirma que o Vigitel subestimou sistematicamente todos os indicadores, com todos os intervalos de confiança excluindo zero. Os dados não sustentam essa afirmação: o sentido da diferença varia por indicador, com subestimação em tabagismo e superestimação em hipertensão, e apenas 2 dos quatro indicadores diferem de zero após correção de Holm.</w:t>
      </w:r>
    </w:p>
    <w:p>
      <w:pPr>
        <w:pStyle w:val="Normal"/>
      </w:pPr>
      <w:r>
        <w:t xml:space="preserve">Segundo, a versão anterior descreve assimetria marcante entre sexos, com a diferença em mulheres várias vezes maior que em homens. O teste de interação não confirma essa assimetria em nenhum dos quatro indicadores. A afirmação anterior parece derivar da comparação visual de intervalos de confiança entre subgrupos, que não constitui teste de modificação de efeito.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10. Reprodutibilidade e documentação</w:t>
      </w:r>
    </w:p>
    <w:p>
      <w:pPr>
        <w:pStyle w:val="Normal"/>
      </w:pPr>
      <w:r>
        <w:t xml:space="preserve">Todo o estudo é reprodutível a partir dos microdados públicos. O pipeline está organizado em dez scripts numerados, executados em ordem, com semente fixa. O código integral da simulação consta do Texto S3 e o ambiente computacional, com versões de R e de todos os pacotes, do Texto S4. O checklist STROBE, com a localização de cada item, está no Texto S1, e o checklist RECORD, no Texto S2.</w:t>
      </w:r>
    </w:p>
    <w:p>
      <w:pPr>
        <w:pStyle w:val="Normal"/>
      </w:pPr>
      <w:r>
        <w:t xml:space="preserve">Nenhum número deste documento foi digitado: cada valor é interpolado a partir dos objetos gravados pelos scripts. Regenerar o documento após qualquer alteração no pipeline atualiza o texto junto com as tabelas, o que elimina a possibilidade de divergência entre os dois.</w:t>
      </w:r>
    </w:p>
    <w:p>
      <w:pPr>
        <w:pStyle w:val="Normal"/>
      </w:pPr>
      <w:r>
        <w:t xml:space="preserve"/>
      </w:r>
    </w:p>
    <w:p>
      <w:pPr>
        <w:pStyle w:val="TableCaption"/>
      </w:pPr>
      <w:r>
        <w:t xml:space="preserve">Quadro 7. Scripts do pipeline e o que cada um produz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Etapa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Script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Download dos microdados das quatro fontes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01_download.R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Harmonização dos instrumentos e equivalência das perguntas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02_harmonize.R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Desenho amostral e validação contra as fontes oficiais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03_design.R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Tabela 1 — características das amostras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04_table1.R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Tabela 2 — prevalências, diferenças e razões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05_prevalences.R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Tabela 3 — viés de não cobertura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06_noncoverage.R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Tabela 4 — partição do gap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07_partition.R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Simulação ADEMP de cenários de quadro amostral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08_simulation.R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Figuras 1 e 2 e figuras suplementares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09_figures.R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Material suplementar em arquivo único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10_supplement.R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 ordem de execução é a da tabela. Cada script começa carregando o mesmo arquivo de configuração, onde estão fixados a semente, os anos de referência, a lista de indicadores e a paleta de cores.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Anexo. Equivalência das perguntas entre os instrumentos (Tabela S1)</w:t>
      </w:r>
    </w:p>
    <w:p>
      <w:pPr>
        <w:pStyle w:val="TableCaption"/>
      </w:pPr>
      <w:r>
        <w:t xml:space="preserve">Tabela S1. Equivalência das perguntas entre Vigitel e PNS, com divergências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indicador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var_pns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enunciado_pns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var_vigitel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enunciado_vigitel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codificacao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divergencia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Atualmente, o(a) Sr(a) fuma algum produto do tabaco?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fumante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= fuma atualmente (diariamente ou menos que diariamente); 0 = nao fuma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 PNS pergunta por 'algum produto do tabaco'; o Vigitel pergunta por cigarros. Diferenca de escopo do produto, nao de estrutura da resposta.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Hipertensao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Q00201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Algum médico já lhe deu o diagnóstico de hipertensão arterial (pressão alta)?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pressão alta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= diagnostico medico referido; 0 = nao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 PNS tem filtro para hipertensao exclusivamente gestacional (Q00202), que o Vigitel nao tem. O Vigitel tem 777 'nao sabe' (44 casos), que a rotina oficial conta como nao-caso; na versao harmonizada eles saem do denominador, como o 'Ignorado' da PNS.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Q03001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Algum médico já lhe deu o diagnóstico de diabetes?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= diagnostico medico referido; 0 = nao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Mesma questao gestacional (Q03002) e mesmo tratamento de 777 (58 casos) descrito para a hipertensao.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Autoavaliacao ruim de saude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 geral, como o(a) Sr(a) avalia a sua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estado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= 'Ruim' ou 'Muito ruim'; 0 = 'Muito boa', 'Boa' ou 'Regular'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Escala de 5 pontos identica nos dois inqueritos. O Vigitel acrescenta 777/888 (562 casos), tratados como acima.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Escolaridade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VDD004A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Nível de instrução mais elevado alcançado (pessoas de 5 anos ou mais de idade) padronizado para o Ensino Fundamental - SISTEMA DE 9 ANOS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fesc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escolaridade (faixas de anos de estudo)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0-8 = ate fundamental completo; 9-11 = ensino medio; 12+ =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 PNS coleta nivel de instrucao; o Vigitel coleta anos de estudo declarados. As faixas do Vigitel (0 a 8 / 9 a 11 / 12 anos e mais) fixam a fronteira em 11 anos para o medio completo, e o mapeamento da PNS segue essa fronteira. A alternativa pelo sistema de 9 anos e testada na Tabela S5.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Posse de telefone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A018017 / A018019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Neste domicílio existe telefone fixo convencional | Neste domicílio existe telefone móvel celular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(nao aplicavel)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(nao aplicavel)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Fixo (com ou sem celular) / Somente celular / Nenhum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Variavel existe apenas na PNS. E a base de toda a estimacao de nao cobertura: o Vigitel, por construcao, so entrevista quem tem telefone.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Enunciados transcritos dos dicionários oficiais de cada inquérito.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77a0eba47ce2a32474fd003479755cad0f06a0f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lshva8</cp:lastModifiedBy>
  <cp:revision>9</cp:revision>
  <dcterms:created xsi:type="dcterms:W3CDTF">2017-02-28T11:18:00Z</dcterms:created>
  <dcterms:modified xsi:type="dcterms:W3CDTF">2026-08-03T15:54:20Z</dcterms:modified>
  <cp:category/>
</cp:coreProperties>
</file>