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1.</w:t>
      </w:r>
      <w:r>
        <w:rPr>
          <w:rFonts w:ascii="Calibri" w:hAnsi="Calibri"/>
          <w:sz w:val="24"/>
          <w:color w:val="333333"/>
        </w:rPr>
        <w:t xml:space="preserve"> Características das amostras de adultos (≥18 anos) das 27 capitais, Vigitel 2019 e PNS 2019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Vigitel 2019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27 capitais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52.443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Idade, anos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Média (DP)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 (16,7)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44,9 (17,3)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-0,13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46,0 (45,0–46,9)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45,1 (44,2–46,0)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 (53,1–55,0)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 (54,0–55,8)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Faixa etária, anos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 (13,1–14,4)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 (13,2–14,7)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 (24,1–26,1)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 (17,7–19,2)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0,16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 (18,1–19,6)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 (19,4–20,8)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 (17,2–18,6)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 (16,5–17,8)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 (12,6–13,6)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 (14,7–15,9)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 (11,0–11,7)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 (14,4–15,7)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-0,11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Escolaridade, anos de estudo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 (27,9–29,7)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 (26,7–28,6)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38,4 (37,5–39,3)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38,6 (37,6–39,6)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 (31,9–33,7)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 (32,4–35,1)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Raça/cor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43,8 (42,9–44,8)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43,8 (42,7–44,9)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 (10,7–12,1)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 (11,8–13,1)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 (41,7–43,7)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41,7 (40,7–42,7)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Amarela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 (0,7–1,0)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 (1,2–1,6)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Indígena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 (1,0–1,4)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 (0,5–0,9)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 (10,0–10,7)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 (10,3–11,2)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 (24,6–25,9)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 (24,2–25,8)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44,6 (43,6–45,6)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 (43,3–45,6)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 (7,7–8,4)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 (7,5–8,5)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 (11,3–12,3)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 (11,3–12,4)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 linha de idade traz média e desvio-padrão ponderados; as demais, percentual com intervalo de confiança de 95%.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DPE = diferença padronizada entre os dois inquéritos, calculada linha a linha para proporções e sobre média e desvio-padrão para a idade. Valores com módulo igual ou superior a 0,10 indicam desequilíbrio relevante.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O peso de pós-estratificação do Vigitel é calibrado por faixa etária, escolaridade e sexo (Ministério da Saúde, Orientações para análises de dados do Vigitel, item 4.5). Diferença padronizada próxima de zero nessas três variáveis decorre da calibragem e não indica que as populações cobertas sejam equivalentes. Raça/cor e região não entram na calibragem.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Fontes: Vigitel 2019 (Ministério da Saúde) e Pesquisa Nacional de Saúde 2019 (IBGE), restrita às 26 capitais estaduais e ao Distrito Federal. Estimativas ponderadas pelo desenho amostral de cada inquérito. Casos sem resposta foram excluídos do denominador da respectiva variável.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2026-08-30T20:49:59Z</dcterms:created>
  <dcterms:modified xsi:type="dcterms:W3CDTF">2026-08-30T20:49:59Z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