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Tabela 3.</w:t>
      </w:r>
      <w:r>
        <w:rPr>
          <w:rFonts w:ascii="Calibri" w:hAnsi="Calibri"/>
          <w:sz w:val="24"/>
          <w:color w:val="333333"/>
        </w:rPr>
        <w:t xml:space="preserve"> Viés de não cobertura da telefonia fixa, estimado dentro da PNS 2019, por indicador e região — adultos (≥18 anos) das 27 capitais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Com telefone fixo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% (IC 95%)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Sem telefone fixo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% (IC 95%)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População sem fixo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% (IC 95%)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Viés de não cobertura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pp (IC 95%)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Tabagismo atual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 capitais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9,6 (8,6–10,6)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12,6 (11,9–13,4)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60,3 (59,2–61,5)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-1,84 (-2,63 a -1,05)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5,64 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4,4 (2,8–6,1)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8,9 (7,9–9,9)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83,7 (82,2–85,2)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-3,77 (-5,35 a -2,19)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11,57 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6,3 (4,7–7,8)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9,9 (8,9–10,8)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75,6 (73,9–77,4)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-2,72 (-4,07 a -1,38)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8,36 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10,5 (8,8–12,1)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15,4 (13,6–17,1)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48,7 (46,4–50,9)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-2,37 (-3,59 a -1,14)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7,27 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12,0 (10,0–14,1)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17,4 (15,1–19,7)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48,1 (44,5–51,8)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-2,57 (-4,06 a -1,09)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7,89 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9,3 (7,7–10,8)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13,8 (12,3–15,3)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59,0 (56,7–61,3)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-2,70 (-3,97 a -1,43)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8,28 *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Hipertensão diagnosticada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 capitais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28,8 (27,4–30,2)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18,3 (17,5–19,1)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60,3 (59,2–61,5)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6,33 (5,37–7,30)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16,55 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26,0 (21,9–30,0)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14,9 (13,6–16,2)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83,7 (82,2–85,2)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9,24 (5,63–12,85)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24,14 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28,9 (26,2–31,6)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20,7 (19,4–21,9)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75,6 (73,9–77,4)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6,25 (4,02–8,47)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16,33 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30,0 (27,8–32,1)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18,1 (16,4–19,7)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48,7 (46,4–50,9)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5,79 (4,43–7,15)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15,13 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29,0 (26,0–32,0)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17,1 (15,0–19,2)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48,1 (44,5–51,8)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5,70 (3,98–7,43)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14,90 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23,9 (21,6–26,2)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17,5 (16,0–19,0)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59,0 (56,7–61,3)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3,76 (2,10–5,42)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9,82 *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Diabetes diagnosticado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 capitais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9,6 (8,8–10,5)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6,3 (5,9–6,8)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60,3 (59,2–61,5)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1,99 (1,42–2,56)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9,26 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6,5 (4,9–8,2)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5,5 (4,7–6,3)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83,7 (82,2–85,2)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0,86 (-0,68 a 2,40)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4,01 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11,0 (9,0–13,0)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7,2 (6,3–8,0)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75,6 (73,9–77,4)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2,93 (1,32–4,53)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13,65 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10,3 (9,0–11,6)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6,2 (5,2–7,2)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48,7 (46,4–50,9)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2,00 (1,20–2,79)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9,31 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6,8 (5,1–8,5)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5,4 (3,7–7,0)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48,1 (44,5–51,8)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0,71 (-0,45 a 1,86)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3,29 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8,5 (7,2–9,7)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6,4 (5,3–7,4)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59,0 (56,7–61,3)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1,24 (0,30–2,17)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5,78 *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Autoavaliação ruim de saúde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 capitais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3,8 (3,3–4,4)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4,8 (4,4–5,3)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60,3 (59,2–61,5)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-0,60 (-1,03 a -0,18)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3,04 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3,1 (1,6–4,6)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4,6 (3,9–5,2)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83,7 (82,2–85,2)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-1,21 (-2,61 a 0,19)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6,10 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4,0 (2,8–5,2)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6,9 (6,0–7,8)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75,6 (73,9–77,4)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-2,18 (-3,32 a -1,05)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11,00 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4,0 (3,1–4,9)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3,3 (2,6–4,0)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48,7 (46,4–50,9)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0,31 (-0,23 a 0,86)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1,58 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3,4 (2,4–4,5)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4,3 (2,8–5,8)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48,1 (44,5–51,8)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-0,42 (-1,34 a 0,50)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2,13 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3,7 (2,8–4,6)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4,6 (3,7–5,6)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59,0 (56,7–61,3)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-0,55 (-1,33 a 0,24)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2,75 *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Viés de não cobertura = proporção da população sem telefone fixo multiplicada pela diferença de prevalência entre quem tem e quem não tem telefone fixo. Valor positivo indica que um inquérito restrito ao quadro de telefonia fixa superestimaria a prevalência populacional; negativo, que subestimaria.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Vício relativo de Cochran = módulo do viés dividido pelo erro-padrão da estimativa. Acima de 0,40 o nível nominal de 95% dos intervalos se degrada; células acima do limiar marcadas com asterisco (24 de 24). A razão apresentada usa o erro-padrão que o Vigitel efetivamente tem para o indicador, leitura operacional do critério; a razão com o erro-padrão interno da PNS consta da Tabela S4.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Fonte: PNS 2019 (IBGE), adultos das 26 capitais e do Distrito Federal. Nenhuma quantidade desta tabela depende do Vigitel: a estimação é inteiramente interna à PNS. Intervalos por bootstrap de Rao-Wu sobre o desenho amostral, com 1.000 réplicas e semente fixa.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2026-08-30T20:50:01Z</dcterms:created>
  <dcterms:modified xsi:type="dcterms:W3CDTF">2026-08-30T20:50:01Z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