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4.</w:t>
      </w:r>
      <w:r>
        <w:rPr>
          <w:rFonts w:ascii="Calibri" w:hAnsi="Calibri"/>
          <w:sz w:val="24"/>
          <w:color w:val="333333"/>
        </w:rPr>
        <w:t xml:space="preserve"> Partição da diferença entre Vigitel 2019 e PNS 2019 em componente de não cobertura e resíduo — adultos (≥18 anos) das 27 capitais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Gap total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pp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**Componente de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não cobertura**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pp (IC 95%)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-1,84 (-2,63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0,26 (-0,95 a 1,47)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excede o gap observado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6,33 (5,37–7,30)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-4,25 (-5,83 a -2,68)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excede o gap observado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 (1,42–2,56)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-2,19 (-3,13 a -1,25)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sinal oposto ao gap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-0,60 (-1,03 a -0,18)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 (0,28–1,67)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sinal oposto ao gap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Gap total = prevalência no Vigitel menos prevalência na PNS, em pontos percentuais. Reproduz a coluna de diferença bruta da Tabela 2.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Componente estimado inteiramente dentro da PNS (Tabela 3): é o viés que um inquérito restrito ao quadro de telefonia fixa sofreria por excluir a população sem telefone fixo.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Resíduo = gap total menos componente de não cobertura, isto é, a parcela da diferença não atribuível à não cobertura telefônica. Absorve conjuntamente efeito de modo de coleta, autorrelato, diferenças de instrumento, não resposta e calibragem de pesos; este desenho não permite separá-los. Intervalo pela soma das variâncias do Vigitel e da quantidade correspondente na PNS, esta obtida no mesmo bootstrap que gerou o componente, de modo a respeitar a correlação entre as parcelas.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Quando o componente tem sinal oposto ao gap observado, ou o excede em magnitude, a razão entre os dois deixa de ser interpretável como fração e a situação é descrita em palavras.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  <w:r>
              <w:rPr>
                <w:rFonts w:ascii="Calibri" w:hAnsi="Calibri"/>
                <w:sz w:val="20"/>
              </w:rPr>
              <w:t xml:space="default">Parcela do viés de cobertura que a pós-estratificação do Vigitel remove, comparando a estimativa que um quadro de telefonia fixa produziria sem ponderação com a efetivamente publicada, tendo a PNS como referência.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Fontes: Vigitel 2019 (Ministério da Saúde) e Pesquisa Nacional de Saúde 2019 (IBGE), restrita às 26 capitais estaduais e ao Distrito Federal. Estimativas ponderadas pelo desenho amostral de cada inquérito. Convenção de sinal: Δ = Vigitel − PNS.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2026-08-30T20:50:01Z</dcterms:created>
  <dcterms:modified xsi:type="dcterms:W3CDTF">2026-08-30T20:50:01Z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