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Tabela 6.</w:t>
      </w:r>
      <w:r>
        <w:rPr>
          <w:rFonts w:ascii="Calibri" w:hAnsi="Calibri"/>
          <w:sz w:val="24"/>
          <w:color w:val="333333"/>
        </w:rPr>
        <w:t xml:space="preserve"> Validação da previsão contra a transição real do sistema: diferença prevista a partir de 2019 e observada na adoção do cadastro duplo em 2023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Previsto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 partir de 2019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pp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Observado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-1,44 (-2,28 a -0,60)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sim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1,21 (-0,19 a 2,60)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sim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0,41 (-0,30 a 1,12)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0,09 (-0,72 a 0,91)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sim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38%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Previsto: resíduo estimado em 2019, isto é, a diferença entre a estimativa publicada pelo Vigitel e a prevalência populacional medida na PNS.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Observado: diferença entre a estimativa reconstruída do desenho legado dentro da edição de 2023 (entrevistas do quadro de telefonia fixa com o peso pesorake_fixo) e a publicada pelo cadastro duplo (peso pesorake), com o tempo mantido constante. Intervalos por bootstrap com reamostragem dentro de cada quadro, 1.000 réplicas, respeitando a correlação entre os dois braços, que compartilham entrevistas.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Correlação de Pearson entre previsto e observado: 0,93. Com quatro indicadores, a correlação é descritiva e não constitui teste de hipótese.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2026-08-30T20:50:04Z</dcterms:created>
  <dcterms:modified xsi:type="dcterms:W3CDTF">2026-08-30T20:50:04Z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