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Tabela S4.</w:t>
      </w:r>
      <w:r>
        <w:rPr>
          <w:rFonts w:ascii="Calibri" w:hAnsi="Calibri"/>
          <w:sz w:val="24"/>
          <w:color w:val="333333"/>
        </w:rPr>
        <w:t xml:space="preserve"> Viés de não cobertura por indicador e região, PNS 2019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Indicador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Domínio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População (%)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 fixo (%)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Sem fixo (%)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Sem fixo, % da pop.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Viés (pp)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Cochran (EP PNS)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Cochran (EP Vigitel)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 capitais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9,6 (8,6–10,6)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12,6 (11,9–13,4)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60,3 (59,2–61,5)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-1,84 (-2,63 a -1,05)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4,4 (2,8–6,1)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8,9 (7,9–9,9)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83,7 (82,2–85,2)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-3,77 (-5,35 a -2,19)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11,57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6,3 (4,7–7,8)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9,9 (8,9–10,8)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75,6 (73,9–77,4)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-2,72 (-4,07 a -1,38)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10,5 (8,8–12,1)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15,4 (13,6–17,1)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48,7 (46,4–50,9)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-2,37 (-3,59 a -1,14)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12,0 (10,0–14,1)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17,4 (15,1–19,7)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48,1 (44,5–51,8)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-2,57 (-4,06 a -1,09)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9,3 (7,7–10,8)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13,8 (12,3–15,3)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59,0 (56,7–61,3)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-2,70 (-3,97 a -1,43)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 capitais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28,8 (27,4–30,2)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18,3 (17,5–19,1)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60,3 (59,2–61,5)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6,33 (5,37–7,30)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16,55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26,0 (21,9–30,0)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14,9 (13,6–16,2)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83,7 (82,2–85,2)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9,24 (5,63–12,85)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24,14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28,9 (26,2–31,6)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20,7 (19,4–21,9)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75,6 (73,9–77,4)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6,25 (4,02–8,47)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16,33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30,0 (27,8–32,1)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18,1 (16,4–19,7)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48,7 (46,4–50,9)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5,79 (4,43–7,15)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15,13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29,0 (26,0–32,0)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17,1 (15,0–19,2)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48,1 (44,5–51,8)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5,70 (3,98–7,43)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14,90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23,9 (21,6–26,2)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17,5 (16,0–19,0)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59,0 (56,7–61,3)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3,76 (2,10–5,42)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 capitais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9,6 (8,8–10,5)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6,3 (5,9–6,8)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60,3 (59,2–61,5)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1,99 (1,42–2,56)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6,5 (4,9–8,2)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5,5 (4,7–6,3)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83,7 (82,2–85,2)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0,86 (-0,68 a 2,40)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11,0 (9,0–13,0)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7,2 (6,3–8,0)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75,6 (73,9–77,4)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2,93 (1,32–4,53)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13,65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10,3 (9,0–11,6)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6,2 (5,2–7,2)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48,7 (46,4–50,9)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2,00 (1,20–2,79)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6,8 (5,1–8,5)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5,4 (3,7–7,0)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48,1 (44,5–51,8)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0,71 (-0,45 a 1,86)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8,5 (7,2–9,7)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6,4 (5,3–7,4)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59,0 (56,7–61,3)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1,24 (0,30–2,17)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 capitais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3,8 (3,3–4,4)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4,8 (4,4–5,3)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60,3 (59,2–61,5)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-0,60 (-1,03 a -0,18)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3,1 (1,6–4,6)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4,6 (3,9–5,2)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83,7 (82,2–85,2)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-1,21 (-2,61 a 0,19)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4,0 (2,8–5,2)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6,9 (6,0–7,8)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75,6 (73,9–77,4)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-2,18 (-3,32 a -1,05)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11,00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4,0 (3,1–4,9)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3,3 (2,6–4,0)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48,7 (46,4–50,9)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0,31 (-0,23 a 0,86)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3,4 (2,4–4,5)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4,3 (2,8–5,8)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48,1 (44,5–51,8)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-0,42 (-1,34 a 0,50)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3,7 (2,8–4,6)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4,6 (3,7–5,6)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59,0 (56,7–61,3)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-0,55 (-1,33 a 0,24)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2,75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As duas últimas colunas trazem o vício relativo de Cochran sob os dois denominadores possíveis. O limiar de degradação é 0,40 em ambos. Intervalos por bootstrap de Rao-Wu com 1.000 réplicas.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2026-08-04T12:27:54Z</dcterms:created>
  <dcterms:modified xsi:type="dcterms:W3CDTF">2026-08-04T12:27:54Z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