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1.</w:t>
      </w:r>
      <w:r>
        <w:rPr>
          <w:rFonts w:ascii="Calibri" w:hAnsi="Calibri"/>
          <w:sz w:val="24"/>
          <w:color w:val="333333"/>
        </w:rPr>
        <w:t xml:space="preserve"> Characteristics of the adult samples (aged 18 years or over) of the 27 capitals, Vigitel 2019 and PNS 2019</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start w:val="single" w:space="0" w:color="D3D3D3"/>
            </w:tcBorders>
          </w:tcPr>
          <w:p>
            <w:pPr>
              <w:spacing w:before="0" w:after="60"/>
              <w:keepNext/>
              <w:jc w:val="center"/>
            </w:pPr>
            <w:r>
              <w:rPr>
                <w:b w:val="true"/>
                <w:rFonts w:ascii="Calibri" w:hAnsi="Calibri"/>
                <w:sz w:val="20"/>
              </w:rPr>
              <w:t xml:space="preserve">Vigitel 2019</w:t>
            </w:r>
            <w:r>
              <w:rPr>
                <w:vertAlign w:val="superscript"/>
                <w:i/>
                <w:rFonts w:ascii="Calibri" w:hAnsi="Calibri"/>
                <w:sz w:val="20"/>
              </w:rPr>
              <w:t xml:space="default">1</w:t>
            </w:r>
          </w:p>
        </w:tc>
        <w:tc>
          <w:tcPr>
            <w:tcBorders>
              <w:top w:val="single" w:sz="16" w:space="0" w:color="D3D3D3"/>
              <w:bottom w:val="single" w:sz="16" w:space="0" w:color="BLACK"/>
            </w:tcBorders>
          </w:tcPr>
          <w:p>
            <w:pPr>
              <w:spacing w:before="0" w:after="60"/>
              <w:keepNext/>
              <w:jc w:val="center"/>
            </w:pPr>
            <w:r>
              <w:rPr>
                <w:rFonts w:ascii="Calibri" w:hAnsi="Calibri"/>
                <w:sz w:val="20"/>
              </w:rPr>
              <w:t xml:space="preserve">27 capitals</w:t>
            </w:r>
            <w:r>
              <w:rPr>
                <w:vertAlign w:val="superscript"/>
                <w:i/>
                <w:rFonts w:ascii="Calibri" w:hAnsi="Calibri"/>
                <w:sz w:val="20"/>
              </w:rPr>
              <w:t xml:space="default">1</w:t>
            </w:r>
          </w:p>
        </w:tc>
        <w:tc>
          <w:tcPr>
            <w:tcBorders>
              <w:top w:val="single" w:sz="16" w:space="0" w:color="D3D3D3"/>
              <w:bottom w:val="single" w:sz="16" w:space="0" w:color="BLACK"/>
              <w:end w:val="single" w:space="0" w:color="D3D3D3"/>
            </w:tcBorders>
          </w:tcPr>
          <w:p>
            <w:pPr>
              <w:spacing w:before="0" w:after="60"/>
              <w:keepNext/>
              <w:jc w:val="center"/>
            </w:pPr>
            <w:r>
              <w:rPr>
                <w:rFonts w:ascii="Calibri" w:hAnsi="Calibri"/>
                <w:sz w:val="20"/>
              </w:rPr>
              <w:t xml:space="preserve">n = 52,443</w:t>
            </w:r>
            <w:r>
              <w:rPr>
                <w:vertAlign w:val="superscript"/>
                <w:i/>
                <w:rFonts w:ascii="Calibri" w:hAnsi="Calibri"/>
                <w:sz w:val="20"/>
              </w:rPr>
              <w:t xml:space="default">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Age, 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-0.13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Sex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(45.0–46.9)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45.1 (44.2–46.0)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(53.1–55.0)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 (54.0–55.8)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Age group, 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(13.1–14.4)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(13.2–14.7)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(24.1–26.1)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(17.7–19.2)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 (18.1–19.6)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(19.4–20.8)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 (17.2–18.6)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 (16.5–17.8)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 (12.6–13.6)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(14.7–15.9)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(11.0–11.7)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(14.4–15.7)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-0.11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Education, years of schooling</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 (27.9–29.7)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(26.7–28.6)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 (37.5–39.3)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 (37.6–39.6)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 (31.9–33.7)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 (32.4–35.1)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Race/skin colour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 (42.9–44.8)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 (42.7–44.9)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(10.7–12.1)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(11.8–13.1)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Brown (parda)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 (41.7–43.7)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 (40.7–42.7)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(0.7–1.0)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(1.2–1.6)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Indigenous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(0.5–0.9)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Region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(10.0–10.7)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(10.3–11.2)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 (24.6–25.9)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(24.2–25.8)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44.6 (43.6–45.6)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 (43.3–45.6)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(7.7–8.4)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(7.5–8.5)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(11.3–12.3)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(11.3–12.4)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default">The age row reports the weighted mean and standard deviation; all other rows report percentages with 95% confidence intervals.</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default">SMD = standardised mean difference between the two surveys, computed row by row for proportions and from the mean and standard deviation for age. Absolute values of 0.10 or above indicate relevant imbalance.</w:t>
            </w:r>
          </w:p>
        </w:tc>
      </w:tr>
      <w:tr>
        <w:trPr>
          <w:cantSplit/>
        </w:trPr>
        <w:tc>
          <w:tcPr>
            <w:gridSpan w:val="4"/>
          </w:tcPr>
          <w:p>
            <w:pPr>
              <w:spacing w:before="0" w:after="60"/>
              <w:keepNext/>
            </w:pPr>
            <w:r>
              <w:rPr>
                <w:vertAlign w:val="superscript"/>
                <w:i/>
                <w:rFonts w:ascii="Calibri" w:hAnsi="Calibri"/>
                <w:sz w:val="20"/>
              </w:rPr>
              <w:t xml:space="default">3</w:t>
            </w:r>
            <w:r>
              <w:rPr>
                <w:rFonts w:ascii="Calibri" w:hAnsi="Calibri"/>
                <w:sz w:val="20"/>
              </w:rPr>
              <w:t xml:space="default">The Vigitel post-stratification weight is calibrated by age group, education and sex (Ministry of Health, Guidance for the analysis of Vigitel data, item 4.5). A standardised difference close to zero for these three variables follows from the calibration and does not indicate that the covered populations are equivalent. Race/skin colour and region do not enter the calibration.</w:t>
            </w:r>
          </w:p>
        </w:tc>
      </w:tr>
      <w:tr>
        <w:trPr>
          <w:cantSplit/>
        </w:trPr>
        <w:tc>
          <w:tcPr>
            <w:gridSpan w:val="4"/>
          </w:tcPr>
          <w:p>
            <w:pPr>
              <w:spacing w:before="0" w:after="60"/>
              <w:keepNext/>
            </w:pPr>
            <w:r>
              <w:rPr>
                <w:rFonts w:ascii="Calibri" w:hAnsi="Calibri"/>
                <w:sz w:val="20"/>
              </w:rPr>
              <w:t xml:space="preserve">Sources: Vigitel 2019 (Brazilian Ministry of Health) and National Health Survey (PNS) 2019 (IBGE), restricted to the 26 state capitals and the Federal District. Estimates weighted by the sampling design of each survey. Missing responses were excluded from the denominator of the respective variable.</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2026-08-30T20:50:38Z</dcterms:created>
  <dcterms:modified xsi:type="dcterms:W3CDTF">2026-08-30T20:50:38Z</dcterms:modified>
</cp:coreProperties>
</file>

<file path=docProps/custom.xml><?xml version="1.0" encoding="utf-8"?>
<Properties xmlns="http://schemas.openxmlformats.org/officeDocument/2006/custom-properties" xmlns:vt="http://schemas.openxmlformats.org/officeDocument/2006/docPropsVTypes"/>
</file>