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2.</w:t>
      </w:r>
      <w:r>
        <w:rPr>
          <w:rFonts w:ascii="Calibri" w:hAnsi="Calibri"/>
          <w:sz w:val="24"/>
          <w:color w:val="333333"/>
        </w:rPr>
        <w:t xml:space="preserve"> Prevalence of the indicators among adults (aged 18 years or over) of the 27 capitals, with crude and age-standardised absolute differences and prevalence ratios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BLACK"/>
              <w:start w:val="single" w:space="0" w:color="D3D3D3"/>
            </w:tcBorders>
          </w:tcPr>
          <w:p>
            <w:pPr>
              <w:spacing w:before="0" w:after="60"/>
              <w:keepNext/>
              <w:jc w:val="center"/>
            </w:pPr>
            <w:r>
              <w:rPr>
                <w:b w:val="true"/>
                <w:rFonts w:ascii="Calibri" w:hAnsi="Calibri"/>
                <w:sz w:val="20"/>
              </w:rPr>
              <w:t xml:space="preserve">Vigitel 2019</w:t>
            </w:r>
          </w:p>
          <w:p>
            <w:pPr>
              <w:spacing w:before="0" w:after="60"/>
              <w:keepNext/>
              <w:jc w:val="center"/>
            </w:pPr>
            <w:r>
              <w:rPr>
                <w:rFonts w:ascii="Calibri" w:hAnsi="Calibri"/>
                <w:sz w:val="20"/>
              </w:rPr>
              <w:t xml:space="preserve">% (95% CI)</w:t>
            </w:r>
          </w:p>
        </w:tc>
        <w:tc>
          <w:tcPr>
            <w:tcBorders>
              <w:top w:val="single" w:sz="16" w:space="0" w:color="D3D3D3"/>
              <w:bottom w:val="single" w:sz="16" w:space="0" w:color="BLACK"/>
            </w:tcBorders>
          </w:tcPr>
          <w:p>
            <w:pPr>
              <w:spacing w:before="0" w:after="60"/>
              <w:keepNext/>
              <w:jc w:val="center"/>
            </w:pPr>
            <w:r>
              <w:rPr>
                <w:b w:val="true"/>
                <w:rFonts w:ascii="Calibri" w:hAnsi="Calibri"/>
                <w:sz w:val="20"/>
              </w:rPr>
              <w:t xml:space="preserve">PNS 2019</w:t>
            </w:r>
          </w:p>
          <w:p>
            <w:pPr>
              <w:spacing w:before="0" w:after="60"/>
              <w:keepNext/>
              <w:jc w:val="center"/>
            </w:pPr>
            <w:r>
              <w:rPr>
                <w:rFonts w:ascii="Calibri" w:hAnsi="Calibri"/>
                <w:sz w:val="20"/>
              </w:rPr>
              <w:t xml:space="preserve">% (95% CI)</w:t>
            </w:r>
          </w:p>
        </w:tc>
        <w:tc>
          <w:tcPr>
            <w:tcBorders>
              <w:top w:val="single" w:sz="16" w:space="0" w:color="D3D3D3"/>
              <w:bottom w:val="single" w:sz="16" w:space="0" w:color="BLACK"/>
            </w:tcBorders>
          </w:tcPr>
          <w:p>
            <w:pPr>
              <w:spacing w:before="0" w:after="60"/>
              <w:keepNext/>
              <w:jc w:val="center"/>
            </w:pPr>
            <w:r>
              <w:rPr>
                <w:b w:val="true"/>
                <w:rFonts w:ascii="Calibri" w:hAnsi="Calibri"/>
                <w:sz w:val="20"/>
              </w:rPr>
              <w:t xml:space="preserve">Crude Δ</w:t>
            </w:r>
            <w:r>
              <w:rPr>
                <w:vertAlign w:val="superscript"/>
                <w:i/>
                <w:rFonts w:ascii="Calibri" w:hAnsi="Calibri"/>
                <w:sz w:val="20"/>
              </w:rPr>
              <w:t xml:space="default">1</w:t>
            </w:r>
          </w:p>
        </w:tc>
        <w:tc>
          <w:tcPr>
            <w:tcBorders>
              <w:top w:val="single" w:sz="16" w:space="0" w:color="D3D3D3"/>
              <w:bottom w:val="single" w:sz="16" w:space="0" w:color="BLACK"/>
            </w:tcBorders>
          </w:tcPr>
          <w:p>
            <w:pPr>
              <w:spacing w:before="0" w:after="60"/>
              <w:keepNext/>
              <w:jc w:val="center"/>
            </w:pPr>
            <w:r>
              <w:rPr>
                <w:rFonts w:ascii="Calibri" w:hAnsi="Calibri"/>
                <w:sz w:val="20"/>
              </w:rPr>
              <w:t xml:space="preserve">pp (95% CI)</w:t>
            </w:r>
            <w:r>
              <w:rPr>
                <w:vertAlign w:val="superscript"/>
                <w:i/>
                <w:rFonts w:ascii="Calibri" w:hAnsi="Calibri"/>
                <w:sz w:val="20"/>
              </w:rPr>
              <w:t xml:space="default">1</w:t>
            </w:r>
          </w:p>
        </w:tc>
        <w:tc>
          <w:tcPr>
            <w:tcBorders>
              <w:top w:val="single" w:sz="16" w:space="0" w:color="D3D3D3"/>
              <w:bottom w:val="single" w:sz="16" w:space="0" w:color="BLACK"/>
            </w:tcBorders>
          </w:tcPr>
          <w:p>
            <w:pPr>
              <w:spacing w:before="0" w:after="60"/>
              <w:keepNext/>
              <w:jc w:val="center"/>
            </w:pPr>
            <w:r>
              <w:rPr>
                <w:b w:val="true"/>
                <w:rFonts w:ascii="Calibri" w:hAnsi="Calibri"/>
                <w:sz w:val="20"/>
              </w:rPr>
              <w:t xml:space="preserve">Age-standardised Δ</w:t>
            </w:r>
            <w:r>
              <w:rPr>
                <w:vertAlign w:val="superscript"/>
                <w:i/>
                <w:rFonts w:ascii="Calibri" w:hAnsi="Calibri"/>
                <w:sz w:val="20"/>
              </w:rPr>
              <w:t xml:space="default">2</w:t>
            </w:r>
          </w:p>
        </w:tc>
        <w:tc>
          <w:tcPr>
            <w:tcBorders>
              <w:top w:val="single" w:sz="16" w:space="0" w:color="D3D3D3"/>
              <w:bottom w:val="single" w:sz="16" w:space="0" w:color="BLACK"/>
              <w:end w:val="single" w:space="0" w:color="D3D3D3"/>
            </w:tcBorders>
          </w:tcPr>
          <w:p>
            <w:pPr>
              <w:spacing w:before="0" w:after="60"/>
              <w:keepNext/>
              <w:jc w:val="center"/>
            </w:pPr>
            <w:r>
              <w:rPr>
                <w:rFonts w:ascii="Calibri" w:hAnsi="Calibri"/>
                <w:sz w:val="20"/>
              </w:rPr>
              <w:t xml:space="preserve">pp (95% CI)</w:t>
            </w:r>
            <w:r>
              <w:rPr>
                <w:vertAlign w:val="superscript"/>
                <w:i/>
                <w:rFonts w:ascii="Calibri" w:hAnsi="Calibri"/>
                <w:sz w:val="20"/>
              </w:rPr>
              <w:t xml:space="default">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Current smoking</w:t>
            </w:r>
            <w:r>
              <w:rPr>
                <w:vertAlign w:val="superscript"/>
                <w:i/>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(9.2–10.5)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(10.8–12.0)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(-2.45 to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(-2.42 to -0.74)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(0.79–0.94)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(11.2–13.5)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(13.4–15.4)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(-3.58 to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(0.76–0.96)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(7.1–8.4)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(8.3–9.7)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(-2.18 to -0.33)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(0.77–0.96)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Diagnosed hypertension</w:t>
            </w:r>
            <w:r>
              <w:rPr>
                <w:vertAlign w:val="superscript"/>
                <w:i/>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(23.8–25.3)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 (21.7–23.2)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 (1.02–3.13)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4.66 (3.74–5.58)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(1.04–1.14)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 (20.1–22.4)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 (19.1–21.2)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(-0.45 to 2.66)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(0.98–1.14)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 (26.4–28.3)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 (23.4–25.4)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2.98 (1.60–4.35)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(1.06–1.18)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Diagnosed diabetes</w:t>
            </w:r>
            <w:r>
              <w:rPr>
                <w:vertAlign w:val="superscript"/>
                <w:i/>
                <w:rFonts w:ascii="Calibri" w:hAnsi="Calibri"/>
                <w:sz w:val="20"/>
              </w:rPr>
              <w:t xml:space="default">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(7.0–7.9)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(7.2–8.1)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 (-0.82 to 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(0.31–1.45)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(0.90–1.06)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(6.4–7.8)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(6.5–7.9)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 (-1.07 to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(0.86–1.13)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(7.3–8.3)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(7.5–8.7)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(-1.06 to 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(0.87–1.07)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Poor self-rated health</w:t>
            </w:r>
            <w:r>
              <w:rPr>
                <w:vertAlign w:val="superscript"/>
                <w:i/>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(4.4–5.2)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 (4.1–4.8)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(-0.15 to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(0.09–1.08)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(0.97–1.21)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(2.9–4.0)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(3.0–3.9)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(-0.72 to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(0.81–1.22)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(5.5–6.6)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(4.8–5.8)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(-0.01 to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(1.00–1.30)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gridSpan w:val="7"/>
          </w:tcPr>
          <w:p>
            <w:pPr>
              <w:spacing w:before="0" w:after="60"/>
              <w:keepNext/>
            </w:pPr>
            <w:r>
              <w:rPr>
                <w:vertAlign w:val="superscript"/>
                <w:i/>
                <w:rFonts w:ascii="Calibri" w:hAnsi="Calibri"/>
                <w:sz w:val="20"/>
              </w:rPr>
              <w:t xml:space="default">1</w:t>
            </w:r>
            <w:r>
              <w:rPr>
                <w:rFonts w:ascii="Calibri" w:hAnsi="Calibri"/>
                <w:sz w:val="20"/>
              </w:rPr>
              <w:t xml:space="default">Δ = Vigitel − PNS, in percentage points (pp). A negative value indicates a lower prevalence in Vigitel.</w:t>
            </w:r>
          </w:p>
        </w:tc>
      </w:tr>
      <w:tr>
        <w:trPr>
          <w:cantSplit/>
        </w:trPr>
        <w:tc>
          <w:tcPr>
            <w:gridSpan w:val="7"/>
          </w:tcPr>
          <w:p>
            <w:pPr>
              <w:spacing w:before="0" w:after="60"/>
              <w:keepNext/>
            </w:pPr>
            <w:r>
              <w:rPr>
                <w:vertAlign w:val="superscript"/>
                <w:i/>
                <w:rFonts w:ascii="Calibri" w:hAnsi="Calibri"/>
                <w:sz w:val="20"/>
              </w:rPr>
              <w:t xml:space="default">2</w:t>
            </w:r>
            <w:r>
              <w:rPr>
                <w:rFonts w:ascii="Calibri" w:hAnsi="Calibri"/>
                <w:sz w:val="20"/>
              </w:rPr>
              <w:t xml:space="default">Direct standardisation to the age structure of the adult population of the 27 capitals in the 2022 Census, applied to both surveys.</w:t>
            </w:r>
          </w:p>
        </w:tc>
      </w:tr>
      <w:tr>
        <w:trPr>
          <w:cantSplit/>
        </w:trPr>
        <w:tc>
          <w:tcPr>
            <w:gridSpan w:val="7"/>
          </w:tcPr>
          <w:p>
            <w:pPr>
              <w:spacing w:before="0" w:after="60"/>
              <w:keepNext/>
            </w:pPr>
            <w:r>
              <w:rPr>
                <w:vertAlign w:val="superscript"/>
                <w:i/>
                <w:rFonts w:ascii="Calibri" w:hAnsi="Calibri"/>
                <w:sz w:val="20"/>
              </w:rPr>
              <w:t xml:space="default">3</w:t>
            </w:r>
            <w:r>
              <w:rPr>
                <w:rFonts w:ascii="Calibri" w:hAnsi="Calibri"/>
                <w:sz w:val="20"/>
              </w:rPr>
              <w:t xml:space="default">PR = prevalence ratio (Vigitel divided by PNS); interval obtained by the delta method on the logarithmic scale.</w:t>
            </w:r>
          </w:p>
        </w:tc>
      </w:tr>
      <w:tr>
        <w:trPr>
          <w:cantSplit/>
        </w:trPr>
        <w:tc>
          <w:tcPr>
            <w:gridSpan w:val="7"/>
          </w:tcPr>
          <w:p>
            <w:pPr>
              <w:spacing w:before="0" w:after="60"/>
              <w:keepNext/>
            </w:pPr>
            <w:r>
              <w:rPr>
                <w:vertAlign w:val="superscript"/>
                <w:i/>
                <w:rFonts w:ascii="Calibri" w:hAnsi="Calibri"/>
                <w:sz w:val="20"/>
              </w:rPr>
              <w:t xml:space="default">4</w:t>
            </w:r>
            <w:r>
              <w:rPr>
                <w:rFonts w:ascii="Calibri" w:hAnsi="Calibri"/>
                <w:sz w:val="20"/>
              </w:rPr>
              <w:t xml:space="default">Two-sided test of the null hypothesis of no difference, treating the surveys as independent samples, with Holm correction over the four principal tests (Overall rows). The sex-specific rows do not enter the correction; asymmetry between sexes is assessed by the interaction test reported in a footnote to each indicator.</w:t>
            </w:r>
          </w:p>
        </w:tc>
      </w:tr>
      <w:tr>
        <w:trPr>
          <w:cantSplit/>
        </w:trPr>
        <w:tc>
          <w:tcPr>
            <w:gridSpan w:val="7"/>
          </w:tcPr>
          <w:p>
            <w:pPr>
              <w:spacing w:before="0" w:after="60"/>
              <w:keepNext/>
            </w:pPr>
            <w:r>
              <w:rPr>
                <w:vertAlign w:val="superscript"/>
                <w:i/>
                <w:rFonts w:ascii="Calibri" w:hAnsi="Calibri"/>
                <w:sz w:val="20"/>
              </w:rPr>
              <w:t xml:space="default">5</w:t>
            </w:r>
            <w:r>
              <w:rPr>
                <w:rFonts w:ascii="Calibri" w:hAnsi="Calibri"/>
                <w:sz w:val="20"/>
              </w:rPr>
              <w:t xml:space="default">Sex × survey interaction: p = 0.882 (Holm-adjusted p = 1.000), from a logistic model on the stacked data with the design of each survey preserved.</w:t>
            </w:r>
          </w:p>
        </w:tc>
      </w:tr>
      <w:tr>
        <w:trPr>
          <w:cantSplit/>
        </w:trPr>
        <w:tc>
          <w:tcPr>
            <w:gridSpan w:val="7"/>
          </w:tcPr>
          <w:p>
            <w:pPr>
              <w:spacing w:before="0" w:after="60"/>
              <w:keepNext/>
            </w:pPr>
            <w:r>
              <w:rPr>
                <w:vertAlign w:val="superscript"/>
                <w:i/>
                <w:rFonts w:ascii="Calibri" w:hAnsi="Calibri"/>
                <w:sz w:val="20"/>
              </w:rPr>
              <w:t xml:space="default">6</w:t>
            </w:r>
            <w:r>
              <w:rPr>
                <w:rFonts w:ascii="Calibri" w:hAnsi="Calibri"/>
                <w:sz w:val="20"/>
              </w:rPr>
              <w:t xml:space="default">Sex × survey interaction: p = 0.142 (Holm-adjusted p = 0.568), from a logistic model on the stacked data with the design of each survey preserved.</w:t>
            </w:r>
          </w:p>
        </w:tc>
      </w:tr>
      <w:tr>
        <w:trPr>
          <w:cantSplit/>
        </w:trPr>
        <w:tc>
          <w:tcPr>
            <w:gridSpan w:val="7"/>
          </w:tcPr>
          <w:p>
            <w:pPr>
              <w:spacing w:before="0" w:after="60"/>
              <w:keepNext/>
            </w:pPr>
            <w:r>
              <w:rPr>
                <w:vertAlign w:val="superscript"/>
                <w:i/>
                <w:rFonts w:ascii="Calibri" w:hAnsi="Calibri"/>
                <w:sz w:val="20"/>
              </w:rPr>
              <w:t xml:space="default">7</w:t>
            </w:r>
            <w:r>
              <w:rPr>
                <w:rFonts w:ascii="Calibri" w:hAnsi="Calibri"/>
                <w:sz w:val="20"/>
              </w:rPr>
              <w:t xml:space="default">Sex × survey interaction: p = 0.809 (Holm-adjusted p = 1.000), from a logistic model on the stacked data with the design of each survey preserved.</w:t>
            </w:r>
          </w:p>
        </w:tc>
      </w:tr>
      <w:tr>
        <w:trPr>
          <w:cantSplit/>
        </w:trPr>
        <w:tc>
          <w:tcPr>
            <w:gridSpan w:val="7"/>
          </w:tcPr>
          <w:p>
            <w:pPr>
              <w:spacing w:before="0" w:after="60"/>
              <w:keepNext/>
            </w:pPr>
            <w:r>
              <w:rPr>
                <w:vertAlign w:val="superscript"/>
                <w:i/>
                <w:rFonts w:ascii="Calibri" w:hAnsi="Calibri"/>
                <w:sz w:val="20"/>
              </w:rPr>
              <w:t xml:space="default">8</w:t>
            </w:r>
            <w:r>
              <w:rPr>
                <w:rFonts w:ascii="Calibri" w:hAnsi="Calibri"/>
                <w:sz w:val="20"/>
              </w:rPr>
              <w:t xml:space="default">Sex × survey interaction: p = 0.250 (Holm-adjusted p = 0.751), from a logistic model on the stacked data with the design of each survey preserved.</w:t>
            </w:r>
          </w:p>
        </w:tc>
      </w:tr>
      <w:tr>
        <w:trPr>
          <w:cantSplit/>
        </w:trPr>
        <w:tc>
          <w:tcPr>
            <w:gridSpan w:val="7"/>
          </w:tcPr>
          <w:p>
            <w:pPr>
              <w:spacing w:before="0" w:after="60"/>
              <w:keepNext/>
            </w:pPr>
            <w:r>
              <w:rPr>
                <w:rFonts w:ascii="Calibri" w:hAnsi="Calibri"/>
                <w:sz w:val="20"/>
              </w:rPr>
              <w:t xml:space="preserve">Sources: Vigitel 2019 (Brazilian Ministry of Health) and National Health Survey (PNS) 2019 (IBGE), restricted to the 26 state capitals and the Federal District. Estimates weighted by the sampling design of each survey. Indicator definitions and item equivalence are given in Table S1.</w:t>
            </w:r>
          </w:p>
        </w:tc>
      </w:tr>
    </w:tbl>
    <w:p>
      <w:pPr>
        <w:pStyle w:val="FirstParagraph"/>
      </w:pPr>
      <w:r>
        <w:t xml:space="preserv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2026-08-30T20:50:39Z</dcterms:created>
  <dcterms:modified xsi:type="dcterms:W3CDTF">2026-08-30T20:50:39Z</dcterms:modified>
</cp:coreProperties>
</file>

<file path=docProps/custom.xml><?xml version="1.0" encoding="utf-8"?>
<Properties xmlns="http://schemas.openxmlformats.org/officeDocument/2006/custom-properties" xmlns:vt="http://schemas.openxmlformats.org/officeDocument/2006/docPropsVTypes"/>
</file>