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5.</w:t>
      </w:r>
      <w:r>
        <w:rPr>
          <w:rFonts w:ascii="Calibri" w:hAnsi="Calibri"/>
          <w:sz w:val="24"/>
          <w:color w:val="333333"/>
        </w:rPr>
        <w:t xml:space="preserve"> Performance of the sampling-frame scenarios in the simulation, by region and indicator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Region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Scenario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Coverage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Bias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Empirical SE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RMSE (MCSE)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4.827 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0.980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0.757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3.219 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0.391 (0.007)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0.378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0.293 (0.007)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1.550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0.573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0.552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0.568 (0.012)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 (0.010)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2.322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1.099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1.114 (0.015)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1.091 (0.015)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1.046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1.597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0.510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0.539 (0.012)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0.508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0.496 (0.011)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1.008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0.335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S0, landline only; S1, mobile only; S2, dual frame; S3, triple frame including internet access; S4, full multimodal. Scenario S1 is not a subset of S0: it has its own non-coverage profile, and bias of opposite sign between them is a legitimate result.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Simulation under the ADEMP framework with 1,000 replicates per scenario, region and indicator, with a fixed seed. Values in percentage points. RMSE = root mean squared error, the primary performance measure; in parentheses, the Monte Carlo standard error, which measures the uncertainty due to the finite number of replicates and not sampling uncertainty.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Pseudo-population: PNS 2019 restricted to the 27 capitals and expanded by the sampling weights. Telephone ownership is not simulated: the ownership observed in the PNS is used. Parameters of the data-generating mechanism are given in Table S5.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2026-08-30T20:50:42Z</dcterms:created>
  <dcterms:modified xsi:type="dcterms:W3CDTF">2026-08-30T20:50:42Z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