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S5.</w:t>
      </w:r>
      <w:r>
        <w:rPr>
          <w:rFonts w:ascii="Calibri" w:hAnsi="Calibri"/>
          <w:sz w:val="24"/>
          <w:color w:val="333333"/>
        </w:rPr>
        <w:t xml:space="preserve"> Parameters of the data-generating mechanism of the simulation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Block</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Item</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0.75 (0.64–0.87); p = &lt;0.001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1.09 (0.98–1.20); p = 0.118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0.95 (0.82–1.10); p = 0.472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0.78 (0.64–0.94); p = 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Cross-check of coverage between independent sources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(capitals)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39.7; mobile 97.3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Cross-check of coverage between independent sources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PNAD-C ICT (capitals)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38.3; mobile 98.1</w:t>
            </w:r>
          </w:p>
        </w:tc>
      </w:tr>
      <w:tr>
        <w:trPr>
          <w:cantSplit/>
        </w:trPr>
        <w:tc>
          <w:tcPr>
            <w:gridSpan w:val="3"/>
          </w:tcPr>
          <w:p>
            <w:pPr>
              <w:spacing w:before="0" w:after="60"/>
              <w:keepNext/>
            </w:pPr>
            <w:r>
              <w:rPr>
                <w:rFonts w:ascii="Calibri" w:hAnsi="Calibri"/>
                <w:sz w:val="20"/>
              </w:rPr>
              <w:t xml:space="preserve">Telephone ownership is not simulated: the pseudo-population uses the ownership observed in the PNS, so that the dependence between ownership, sociodemographic characteristics and outcome is the one present in the data. The residual association documents that dependence: were it null for every outcome, the bias would be zero by construction and the simulation would be uninformative.</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2026-08-30T20:50:58Z</dcterms:created>
  <dcterms:modified xsi:type="dcterms:W3CDTF">2026-08-30T20:50:58Z</dcterms:modified>
</cp:coreProperties>
</file>

<file path=docProps/custom.xml><?xml version="1.0" encoding="utf-8"?>
<Properties xmlns="http://schemas.openxmlformats.org/officeDocument/2006/custom-properties" xmlns:vt="http://schemas.openxmlformats.org/officeDocument/2006/docPropsVTypes"/>
</file>