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S7.</w:t>
      </w:r>
      <w:r>
        <w:rPr>
          <w:rFonts w:ascii="Calibri" w:hAnsi="Calibri"/>
          <w:sz w:val="24"/>
          <w:color w:val="333333"/>
        </w:rPr>
        <w:t xml:space="preserve"> Predicted and observed by region: the negative result of the regional stratification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Region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RMSE S0 (simulation)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RMSE S2 (simulation)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Predicted reduction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difference observed in 2023 (pp)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1.87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The simulation predicted a larger gain where landline coverage is lower. The real 2023 transition reversed that ordering (Spearman correlation -0.70; with five regions this is descriptive and not a test). The hypothesis on record is that the population still keeping a landline in 2023 differs from that of 2019, on which the simulation was calibrated.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2026-08-30T20:51:03Z</dcterms:created>
  <dcterms:modified xsi:type="dcterms:W3CDTF">2026-08-30T20:51:03Z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