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Weighted sample characteristics, Vigitel 2019 vs PNS 2019 (adults ≥18 years).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7"/>
        <w:gridCol w:w="2764"/>
        <w:gridCol w:w="2044"/>
      </w:tblGrid>
      <w:tr>
        <w:trPr>
          <w:trHeight w:val="81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Vigitel (capitals + DF)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70,377,730,418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PNS (Brazil)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159,171,311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 (17.4)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 (17.2)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≤8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9-11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≥12 yr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50.8%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Race/colour (self-reported)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2026-05-07T10:24:19Z</dcterms:modified>
  <cp:category/>
</cp:coreProperties>
</file>