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2. Weighted prevalence of NCD risk indicators, Vigitel 2019 vs PNS 2019.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3"/>
        <w:gridCol w:w="2764"/>
        <w:gridCol w:w="2044"/>
      </w:tblGrid>
      <w:tr>
        <w:trPr>
          <w:trHeight w:val="81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Vigitel (capitals + DF)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70,377,730,418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PNS (Brazil)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159,171,311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 smoking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Obesity (BMI ≥30)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NA%</w:t>
            </w:r>
          </w:p>
        </w:tc>
      </w:tr>
      <w:tr>
        <w:trPr>
          <w:trHeight w:val="61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Diagnosed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</w:t>
            </w:r>
          </w:p>
        </w:tc>
      </w:tr>
      <w:tr>
        <w:trPr>
          <w:trHeight w:val="61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Diagnosed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</w:t>
            </w:r>
          </w:p>
        </w:tc>
      </w:tr>
      <w:tr>
        <w:trPr>
          <w:trHeight w:val="575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 self-rated health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5.8%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2026-05-07T10:24:19Z</dcterms:modified>
  <cp:category/>
</cp:coreProperties>
</file>