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PREMIUM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Análise e estruturação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Relatórios das métricas das campanhas;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Suporte via WhatsApp em horário comercial.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1.2. A CONTRATANTE poderá contratar, de forma opcional e mediante cobrança à parte, os seguintes serviços adicionais, conforme selecionado no ato da contratação: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iFood — R$ 600,00/mês;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Gestão de 99Food — R$ 600,00/mês;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Audens Finance — R$ 599,00/ano;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Gestão de CRM (Estratégia de Retenção Audens Pro + Repediu, até 5 campanhas ativas por mês) — R$ 800,00/mês;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Criação de Cardápio Digital — R$ 300,00/mês;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Estratégias de Promoções — R$ 500,00/mês.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