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STARTER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Tráfego Pago Especializada (Meta Ads);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Edição de até 3 (três) vídeos para tráfego;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1 (uma) Otimização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3 (três) Otimizações de Tráfego nos dias 15, 30 e 45 de serviço;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1 (uma) Campanha de vendas com 3 (três) anúncios;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Suporte via WhatsApp em horário comercial;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Relatório semanal de métricas.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1.3.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>CLÁUSULA 10ª – DO BENEFÍCIO DE RENOVAÇÃO (CASHBACK)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10.1. Ao CONTRATANTE do Plano Starter que permanecer com os serviços da CONTRATADA por, no mínimo, 45 (quarenta e cinco) dias corridos, será concedido um benefício de desconto equivalente ao valor total pago pelo presente contrato, aplicável exclusivamente na contratação do Plano Premium ou do Plano Elite da CONTRATADA.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10.2. O benefício de desconto estará sujeito às seguintes condições: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Somente será válido após o cumprimento integral de 45 (quarenta e cinco) dias corridos de prestação de serviços do Plano Starter;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Deverá ser utilizado pelo próprio CONTRATANTE, sendo intransferível e não convertível em espécie;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Aplica-se exclusivamente à contratação dos planos Premium ou Elite, sem cumulatividade com outros descontos ou benefícios;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 CONTRATANTE deverá manifestar interesse na renovação durante a vigência deste contrato ou em até 30 (trinta) dias após o seu encerramento.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10.3. O benefício previsto nesta cláusula constitui um incentivo comercial da CONTRATADA e não gera qualquer obrigação de renovação por parte do CONTRATANTE.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11ª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