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STARTER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3 (três) vídeos para tráfego;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1 (uma) Otimização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3 (três) Otimizações de Tráfego nos dias 15, 30 e 45 de serviço;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1 (uma) Campanha de vendas com 3 (três) anúncios;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Relatório semanal de métricas.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1.3.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sz w:val="22"/>
          <w:szCs w:val="22"/>
        </w:rPr>
        <w:t>CLÁUSULA 5ª – DO VALOR, FORMA DE PAGAMENTO E VIGÊNCIA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{forma_pagamento}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5.3. O parcelamento do pagamento constitui mera facilidade concedida pela CONTRATADA e não descaracteriza a obrigação integral da CONTRATANTE em relação ao valor total do contrato firmado.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cancelamento, contestação de pagamento (chargeback)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adotar as medidas administrativas e judiciais cabíveis para cobrança dos valores em aberto.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5.7. Os valores pagos são contraprestação pelos serviços efetivamente prestados, pela disponibilidade da equipe, pelo planejamento estratégico e pela reserva de capacidade operacional desde o início da vigência contratual.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fixo e improrrogável de 45 (quarenta e cinco) dias corridos, contados da data de início prevista na Cláusula 6ª, e não prevê renovação automática. O encerramento do prazo extingue automaticamente as obrigações de prestação de serviços da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rescisão antecipada por parte da CONTRATANTE não gera direito a reembolso, restituição ou compensação dos valores pagos ou devidos.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5.11. Em caso de rescisão antecipada, a totalidade do saldo remanescente do valor total do contrato permanecerá devida e exigível pela CONTRATADA, independentemente da interrupção da prestação dos serviços.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5.12. O Plano Starter não admite renovação. Ao término dos 45 (quarenta e cinco) dias, o CONTRATANTE que desejar dar continuidade aos serviços da CONTRATADA deverá contratar o Plano Premium ou o Plano Elite, podendo usufruir do benefício de cashback previsto na Cláusula 10ª deste instrumento.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>CLÁUSULA 10ª – DO BENEFÍCIO DE RENOVAÇÃO (CASHBACK)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10.1. Ao CONTRATANTE do Plano Starter que permanecer com os serviços da CONTRATADA por, no mínimo, 45 (quarenta e cinco) dias corridos, será concedido um benefício de desconto equivalente ao valor total pago pelo presente contrato, aplicável exclusivamente na contratação do Plano Premium ou do Plano Elite da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10.2. O benefício de desconto estará sujeito às seguintes condições: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Somente será válido após o cumprimento integral de 45 (quarenta e cinco) dias corridos de prestação de serviços do Plano Starter;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Deverá ser utilizado pelo próprio CONTRATANTE, sendo intransferível e não convertível em espécie;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Aplica-se exclusivamente à contratação dos planos Premium ou Elite, sem cumulatividade com outros descontos ou benefícios;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 CONTRATANTE deverá manifestar interesse na renovação durante a vigência deste contrato ou em até 30 (trinta) dias após o seu encerramento.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10.3. O benefício previsto nesta cláusula constitui um incentivo comercial da CONTRATADA e não gera qualquer obrigação de renovação por parte do CONTRATANTE.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11ª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