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STARTER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3 (três) vídeos para tráfego;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1 (uma) Otimização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3 (três) Otimizações de Tráfego nos dias 15, 30 e 45 de serviço;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1 (uma) Campanha de vendas com 3 (três) anúncios;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Relatório semanal de métricas.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>CLÁUSULA 10ª – DO CASHBACK E RENOVAÇÃO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10.1. A CONTRATANTE do Plano Starter terá direito a um benefício de cashback no valor de R$ 2.000,00 (dois mil reais), aplicável exclusivamente na contratação do Plano Premium da CONTRATADA, nas seguintes condições: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O benefício de cashback somente será válido após 45 (quarenta e cinco) dias corridos de prestação ininterrupta dos serviços do Plano Starter;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O cashback será concedido como desconto direto no valor do Plano Premium, que passará de R$ 9.000,00 (nove mil reais) para R$ 7.000,00 (sete mil reais);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O benefício é intransferível, não convertível em espécie e somente poderá ser utilizado pelo CONTRATANTE deste instrumento;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 cashback não é cumulativo com outros descontos, promoções ou benefícios eventualmente concedidos pela CONTRATADA;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Para usufruir do benefício, o CONTRATANTE deverá manifestar interesse na renovação para o Plano Premium dentro do prazo de vigência deste contrato ou em até 30 (trinta) dias após o encerramento;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10.2. O cashback previsto nesta cláusula constitui um incentivo comercial da CONTRATADA e não representa qualquer obrigação de renovação por parte da CONTRATANTE.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11ª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