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{qualif_cliente}, inscrita no {doc_tipo}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r>
        <w:t xml:space="preserve">{#temSegundaLoja}SEGUNDA UNIDADE: O presente contrato abrange também a 2ª unidade da CONTRATANTE, {nome_cliente_2}, {qualif_cliente_2}, inscrita no {doc_tipo_2} nº {cnpj_cliente_2}, pela qual será devido {forma_pagamento_2}{/temSegundaLoja}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PREMIUM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5 (cinco) criativos para tráfego, mensalmente;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Análise e estruturação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Relatórios das métricas das campanhas;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Estratégias focadas na captação de novos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Estratégias focadas na retenção dos clientes;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Suporte via WhatsApp em horário comercial.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{#temAdicionais}1.2. Os serviços adicionais opcionais contratados pela CONTRATANTE, cobrados à parte, são os seguintes: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{#adicionaisSel}{linha}{/adicionaisSel}{/temAdicionais}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{clausulaMidia}.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5ª – DO VALOR, FORMA DE PAGAMENTO E VIGÊNCIA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</w:t>
      </w:r>
      <w:r>
        <w:rPr>
          <w:rFonts w:ascii="Arial" w:cs="Arial" w:eastAsia="Arial" w:hAnsi="Arial"/>
          <w:sz w:val="22"/>
          <w:szCs w:val="22"/>
        </w:rPr>
        <w:t xml:space="preserve">{forma_pagamento}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5.3. O parcelamento ou fracionamento do pagamento constitui mera facilidade concedida pela CONTRATADA e não descaracteriza a obrigação integral da CONTRATANTE em relação ao valor total do contrato firmado.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não processamento, cancelamento de cobrança, contestação de pagamento (chargeback), bloqueio de pagamento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relatórios, treinamentos, consultorias, reuniões, acessos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bloquear acessos a plataformas, áreas de membros, materiais estratégicos, treinamentos e demais ativos disponibilizados durante a vigência contratual;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adotar as medidas administrativas e judiciais cabíveis para cobrança dos valores em aberto.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aplicável, sem prejuízo das demais medidas previstas neste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5.7. Os valores pagos serão considerados contraprestação pelos serviços efetivamente prestados, pela disponibilidade da equipe, pela estrutura operacional, pelo planejamento estratégico, pela alocação de recursos, pela reserva de capacidade operacional e pelas atividades executadas desde o início da vigência contratual.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mínimo de vigência de </w:t>
      </w:r>
      <w:r>
        <w:rPr>
          <w:rFonts w:ascii="Arial" w:cs="Arial" w:eastAsia="Arial" w:hAnsi="Arial"/>
          <w:sz w:val="22"/>
          <w:szCs w:val="22"/>
        </w:rPr>
        <w:t xml:space="preserve">{duracao_meses}</w:t>
      </w:r>
      <w:r>
        <w:rPr>
          <w:rFonts w:ascii="Arial" w:cs="Arial" w:eastAsia="Arial" w:hAnsi="Arial"/>
          <w:sz w:val="22"/>
          <w:szCs w:val="22"/>
        </w:rPr>
        <w:t xml:space="preserve"> meses, permanecendo as partes vinculadas ao período integral contratado.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{#mmr}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Caso a CONTRATANTE deseje encerrar o contrato sem incidência de multa, deverá comunicar formalmente a CONTRATADA com antecedência mínima de 20 (vinte) dias corridos do próximo vencimento.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Na ausência do aviso prévio previsto na cláusula anterior, ou em caso de rescisão antecipada durante a vigência contratual, será devida multa compensatória correspondente a 50% (cinquenta por cento) do saldo contratual restante até o término do contrato.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{^mmr}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a rescisão antecipada por parte da CONTRATANTE não gera direito a reembolso, restituição ou compensação dos valores pagos ou devidos, nos termos da cláusula 5.8.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5.11. Em caso de cancelamento ou rescisão antecipada, a totalidade do saldo remanescente do valor total do contrato permanecerá devida e exigível pela CONTRATADA, independentemente da eventual interrupção da prestação dos serviços.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{/mmr}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5.12. A rescisão contratual, independentemente do motivo, não desobriga a CONTRATANTE do pagamento dos valores vencidos até a data do encerramento efetivo da relação contratual.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10ª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