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711" w:rsidRPr="00314BBA" w:rsidRDefault="00314BBA" w:rsidP="00314BBA">
      <w:pPr>
        <w:jc w:val="center"/>
        <w:rPr>
          <w:rFonts w:ascii="黑体" w:eastAsia="黑体" w:hAnsi="黑体"/>
          <w:sz w:val="32"/>
          <w:szCs w:val="32"/>
        </w:rPr>
      </w:pPr>
      <w:r w:rsidRPr="00314BBA">
        <w:rPr>
          <w:rFonts w:ascii="黑体" w:eastAsia="黑体" w:hAnsi="黑体" w:hint="eastAsia"/>
          <w:sz w:val="32"/>
          <w:szCs w:val="32"/>
        </w:rPr>
        <w:t>金融</w:t>
      </w:r>
      <w:r w:rsidRPr="00314BBA">
        <w:rPr>
          <w:rFonts w:ascii="黑体" w:eastAsia="黑体" w:hAnsi="黑体"/>
          <w:sz w:val="32"/>
          <w:szCs w:val="32"/>
        </w:rPr>
        <w:t>市场基础</w:t>
      </w:r>
      <w:r w:rsidRPr="00314BBA">
        <w:rPr>
          <w:rFonts w:ascii="黑体" w:eastAsia="黑体" w:hAnsi="黑体" w:hint="eastAsia"/>
          <w:sz w:val="32"/>
          <w:szCs w:val="32"/>
        </w:rPr>
        <w:t>知识</w:t>
      </w:r>
    </w:p>
    <w:p w:rsidR="00314BBA" w:rsidRDefault="00327AB8" w:rsidP="00622C70">
      <w:pPr>
        <w:pStyle w:val="a3"/>
        <w:numPr>
          <w:ilvl w:val="0"/>
          <w:numId w:val="1"/>
        </w:numPr>
        <w:ind w:firstLineChars="0"/>
      </w:pPr>
      <w:r>
        <w:t>会计师事务所</w:t>
      </w:r>
      <w:r>
        <w:rPr>
          <w:rFonts w:hint="eastAsia"/>
        </w:rPr>
        <w:t>申请</w:t>
      </w:r>
      <w:r>
        <w:t>证券资格，需要依法成立</w:t>
      </w:r>
      <w:r w:rsidRPr="00622C70">
        <w:rPr>
          <w:rFonts w:hint="eastAsia"/>
          <w:b/>
        </w:rPr>
        <w:t>5</w:t>
      </w:r>
      <w:r>
        <w:rPr>
          <w:rFonts w:hint="eastAsia"/>
        </w:rPr>
        <w:t>年以上</w:t>
      </w:r>
      <w:r>
        <w:t>。</w:t>
      </w:r>
    </w:p>
    <w:p w:rsidR="00622C70" w:rsidRDefault="00622C70" w:rsidP="00622C70">
      <w:pPr>
        <w:ind w:left="360"/>
      </w:pPr>
      <w:r>
        <w:rPr>
          <w:rFonts w:hint="eastAsia"/>
        </w:rPr>
        <w:t>组织</w:t>
      </w:r>
      <w:r>
        <w:t>形式为合伙制或者特殊的普通合伙制</w:t>
      </w:r>
    </w:p>
    <w:p w:rsidR="00622C70" w:rsidRDefault="00622C70" w:rsidP="00622C70">
      <w:pPr>
        <w:ind w:left="360"/>
      </w:pPr>
      <w:r>
        <w:rPr>
          <w:rFonts w:hint="eastAsia"/>
        </w:rPr>
        <w:t>注册</w:t>
      </w:r>
      <w:r>
        <w:t>会计师</w:t>
      </w:r>
      <w:r>
        <w:t>&gt;=200</w:t>
      </w:r>
      <w:r>
        <w:rPr>
          <w:rFonts w:hint="eastAsia"/>
        </w:rPr>
        <w:t>人</w:t>
      </w:r>
      <w:r>
        <w:t>，</w:t>
      </w:r>
      <w:r w:rsidR="00B06C32">
        <w:rPr>
          <w:rFonts w:hint="eastAsia"/>
        </w:rPr>
        <w:t>年龄</w:t>
      </w:r>
      <w:r w:rsidR="00B06C32">
        <w:t>都不大于</w:t>
      </w:r>
      <w:r w:rsidR="00B06C32">
        <w:rPr>
          <w:rFonts w:hint="eastAsia"/>
        </w:rPr>
        <w:t>65</w:t>
      </w:r>
      <w:r w:rsidR="00B06C32">
        <w:rPr>
          <w:rFonts w:hint="eastAsia"/>
        </w:rPr>
        <w:t>岁</w:t>
      </w:r>
    </w:p>
    <w:p w:rsidR="00622C70" w:rsidRDefault="00622C70" w:rsidP="00622C70">
      <w:pPr>
        <w:ind w:left="360"/>
      </w:pPr>
      <w:r>
        <w:rPr>
          <w:rFonts w:hint="eastAsia"/>
        </w:rPr>
        <w:t>净资产</w:t>
      </w:r>
      <w:r>
        <w:t>不少于</w:t>
      </w:r>
      <w:r>
        <w:rPr>
          <w:rFonts w:hint="eastAsia"/>
        </w:rPr>
        <w:t>500</w:t>
      </w:r>
      <w:r>
        <w:t>W</w:t>
      </w:r>
    </w:p>
    <w:p w:rsidR="00986BE1" w:rsidRPr="00622C70" w:rsidRDefault="00986BE1" w:rsidP="00622C70">
      <w:pPr>
        <w:ind w:left="360"/>
      </w:pPr>
      <w:r>
        <w:rPr>
          <w:rFonts w:hint="eastAsia"/>
        </w:rPr>
        <w:t>其他</w:t>
      </w:r>
      <w:r>
        <w:t>。。。</w:t>
      </w:r>
    </w:p>
    <w:p w:rsidR="00622C70" w:rsidRPr="00B74FFA" w:rsidRDefault="00963EFE" w:rsidP="00622C70">
      <w:pPr>
        <w:pStyle w:val="a3"/>
        <w:numPr>
          <w:ilvl w:val="0"/>
          <w:numId w:val="1"/>
        </w:numPr>
        <w:ind w:firstLineChars="0"/>
      </w:pPr>
      <w:r>
        <w:rPr>
          <w:rFonts w:hint="eastAsia"/>
        </w:rPr>
        <w:t>单个</w:t>
      </w:r>
      <w:r>
        <w:t>沪股通交易日的单只沪股通股票担保卖空比例不得超过</w:t>
      </w:r>
      <w:r w:rsidRPr="0007159C">
        <w:rPr>
          <w:rFonts w:hint="eastAsia"/>
          <w:b/>
        </w:rPr>
        <w:t>1</w:t>
      </w:r>
      <w:r w:rsidRPr="0007159C">
        <w:rPr>
          <w:b/>
        </w:rPr>
        <w:t>%</w:t>
      </w:r>
    </w:p>
    <w:p w:rsidR="00B74FFA" w:rsidRDefault="00B74FFA" w:rsidP="00622C70">
      <w:pPr>
        <w:pStyle w:val="a3"/>
        <w:numPr>
          <w:ilvl w:val="0"/>
          <w:numId w:val="1"/>
        </w:numPr>
        <w:ind w:firstLineChars="0"/>
      </w:pPr>
      <w:r w:rsidRPr="00B74FFA">
        <w:rPr>
          <w:rFonts w:hint="eastAsia"/>
        </w:rPr>
        <w:t>世界</w:t>
      </w:r>
      <w:r w:rsidRPr="00B74FFA">
        <w:t>银行</w:t>
      </w:r>
      <w:r>
        <w:rPr>
          <w:rFonts w:hint="eastAsia"/>
        </w:rPr>
        <w:t>成立</w:t>
      </w:r>
      <w:r>
        <w:t>于</w:t>
      </w:r>
      <w:r w:rsidRPr="00B74FFA">
        <w:rPr>
          <w:rFonts w:hint="eastAsia"/>
          <w:b/>
        </w:rPr>
        <w:t>1944</w:t>
      </w:r>
      <w:r>
        <w:rPr>
          <w:rFonts w:hint="eastAsia"/>
        </w:rPr>
        <w:t>年</w:t>
      </w:r>
      <w:r>
        <w:t>，是全球最</w:t>
      </w:r>
      <w:r>
        <w:rPr>
          <w:rFonts w:hint="eastAsia"/>
        </w:rPr>
        <w:t>大</w:t>
      </w:r>
      <w:r>
        <w:t>的</w:t>
      </w:r>
      <w:r w:rsidRPr="00B74FFA">
        <w:rPr>
          <w:b/>
        </w:rPr>
        <w:t>发展援助</w:t>
      </w:r>
      <w:r>
        <w:t>机构之一。</w:t>
      </w:r>
    </w:p>
    <w:p w:rsidR="00312ED8" w:rsidRDefault="002F1B6B" w:rsidP="00622C70">
      <w:pPr>
        <w:pStyle w:val="a3"/>
        <w:numPr>
          <w:ilvl w:val="0"/>
          <w:numId w:val="1"/>
        </w:numPr>
        <w:ind w:firstLineChars="0"/>
      </w:pPr>
      <w:r>
        <w:rPr>
          <w:rFonts w:hint="eastAsia"/>
        </w:rPr>
        <w:t>香港</w:t>
      </w:r>
      <w:r>
        <w:t>恒生指数的编制</w:t>
      </w:r>
      <w:r>
        <w:rPr>
          <w:rFonts w:hint="eastAsia"/>
        </w:rPr>
        <w:t>方法</w:t>
      </w:r>
      <w:r>
        <w:t>采用</w:t>
      </w:r>
      <w:r w:rsidRPr="002F1B6B">
        <w:rPr>
          <w:b/>
        </w:rPr>
        <w:t>流通市值加权法</w:t>
      </w:r>
      <w:r>
        <w:t>计算</w:t>
      </w:r>
    </w:p>
    <w:p w:rsidR="000B612F" w:rsidRDefault="006B1A02" w:rsidP="00622C70">
      <w:pPr>
        <w:pStyle w:val="a3"/>
        <w:numPr>
          <w:ilvl w:val="0"/>
          <w:numId w:val="1"/>
        </w:numPr>
        <w:ind w:firstLineChars="0"/>
      </w:pPr>
      <w:r>
        <w:rPr>
          <w:rFonts w:hint="eastAsia"/>
        </w:rPr>
        <w:t>资产</w:t>
      </w:r>
      <w:r>
        <w:t>评估机构申请证券评估资格时</w:t>
      </w:r>
      <w:r>
        <w:rPr>
          <w:rFonts w:hint="eastAsia"/>
        </w:rPr>
        <w:t>，</w:t>
      </w:r>
      <w:r>
        <w:t>最近</w:t>
      </w:r>
      <w:r>
        <w:rPr>
          <w:rFonts w:hint="eastAsia"/>
        </w:rPr>
        <w:t>3</w:t>
      </w:r>
      <w:r>
        <w:rPr>
          <w:rFonts w:hint="eastAsia"/>
        </w:rPr>
        <w:t>年</w:t>
      </w:r>
      <w:r>
        <w:t>评估业务</w:t>
      </w:r>
      <w:r>
        <w:rPr>
          <w:rFonts w:hint="eastAsia"/>
        </w:rPr>
        <w:t>收入</w:t>
      </w:r>
      <w:r>
        <w:t>合计</w:t>
      </w:r>
      <w:r>
        <w:rPr>
          <w:rFonts w:hint="eastAsia"/>
        </w:rPr>
        <w:t>不少于</w:t>
      </w:r>
      <w:r w:rsidRPr="00BF1B2B">
        <w:rPr>
          <w:rFonts w:hint="eastAsia"/>
          <w:b/>
        </w:rPr>
        <w:t>2000</w:t>
      </w:r>
      <w:r>
        <w:rPr>
          <w:rFonts w:hint="eastAsia"/>
        </w:rPr>
        <w:t>W</w:t>
      </w:r>
      <w:r>
        <w:rPr>
          <w:rFonts w:hint="eastAsia"/>
        </w:rPr>
        <w:t>，且每年</w:t>
      </w:r>
      <w:r>
        <w:t>不少于</w:t>
      </w:r>
      <w:r w:rsidRPr="00C11BFA">
        <w:rPr>
          <w:rFonts w:hint="eastAsia"/>
          <w:b/>
        </w:rPr>
        <w:t>500</w:t>
      </w:r>
      <w:r>
        <w:rPr>
          <w:rFonts w:hint="eastAsia"/>
        </w:rPr>
        <w:t>W</w:t>
      </w:r>
    </w:p>
    <w:p w:rsidR="006B1A02" w:rsidRDefault="00641E1C" w:rsidP="00622C70">
      <w:pPr>
        <w:pStyle w:val="a3"/>
        <w:numPr>
          <w:ilvl w:val="0"/>
          <w:numId w:val="1"/>
        </w:numPr>
        <w:ind w:firstLineChars="0"/>
      </w:pPr>
      <w:r w:rsidRPr="00641E1C">
        <w:rPr>
          <w:rFonts w:hint="eastAsia"/>
          <w:b/>
        </w:rPr>
        <w:t>国有资产</w:t>
      </w:r>
      <w:r w:rsidRPr="00641E1C">
        <w:rPr>
          <w:b/>
        </w:rPr>
        <w:t>管理部门</w:t>
      </w:r>
      <w:r>
        <w:t>是国有股权行政管理的专职机构</w:t>
      </w:r>
    </w:p>
    <w:p w:rsidR="00641E1C" w:rsidRDefault="001823DA" w:rsidP="00622C70">
      <w:pPr>
        <w:pStyle w:val="a3"/>
        <w:numPr>
          <w:ilvl w:val="0"/>
          <w:numId w:val="1"/>
        </w:numPr>
        <w:ind w:firstLineChars="0"/>
      </w:pPr>
      <w:r>
        <w:rPr>
          <w:rFonts w:hint="eastAsia"/>
        </w:rPr>
        <w:t>公开</w:t>
      </w:r>
      <w:r>
        <w:t>发行的企业债券累计</w:t>
      </w:r>
      <w:r>
        <w:rPr>
          <w:rFonts w:hint="eastAsia"/>
        </w:rPr>
        <w:t>债券</w:t>
      </w:r>
      <w:r>
        <w:t>余额不得超过公司</w:t>
      </w:r>
      <w:r>
        <w:rPr>
          <w:rFonts w:hint="eastAsia"/>
        </w:rPr>
        <w:t>净资产的</w:t>
      </w:r>
      <w:r w:rsidRPr="00544566">
        <w:rPr>
          <w:rFonts w:hint="eastAsia"/>
          <w:b/>
        </w:rPr>
        <w:t>40</w:t>
      </w:r>
      <w:r w:rsidRPr="00544566">
        <w:rPr>
          <w:b/>
        </w:rPr>
        <w:t>%</w:t>
      </w:r>
    </w:p>
    <w:p w:rsidR="00544566" w:rsidRDefault="00376E05" w:rsidP="00622C70">
      <w:pPr>
        <w:pStyle w:val="a3"/>
        <w:numPr>
          <w:ilvl w:val="0"/>
          <w:numId w:val="1"/>
        </w:numPr>
        <w:ind w:firstLineChars="0"/>
      </w:pPr>
      <w:r>
        <w:rPr>
          <w:rFonts w:hint="eastAsia"/>
        </w:rPr>
        <w:t>目前</w:t>
      </w:r>
      <w:r>
        <w:t>，</w:t>
      </w:r>
      <w:r>
        <w:rPr>
          <w:rFonts w:hint="eastAsia"/>
        </w:rPr>
        <w:t>股市</w:t>
      </w:r>
      <w:r>
        <w:t>及基金</w:t>
      </w:r>
      <w:r>
        <w:rPr>
          <w:rFonts w:hint="eastAsia"/>
        </w:rPr>
        <w:t>交易</w:t>
      </w:r>
      <w:r>
        <w:t>佣金</w:t>
      </w:r>
      <w:r>
        <w:rPr>
          <w:rFonts w:hint="eastAsia"/>
        </w:rPr>
        <w:t>实行</w:t>
      </w:r>
      <w:r w:rsidRPr="00376E05">
        <w:rPr>
          <w:b/>
        </w:rPr>
        <w:t>最高</w:t>
      </w:r>
      <w:r>
        <w:t>上限</w:t>
      </w:r>
      <w:r w:rsidRPr="00376E05">
        <w:rPr>
          <w:rFonts w:hint="eastAsia"/>
          <w:b/>
        </w:rPr>
        <w:t>向下</w:t>
      </w:r>
      <w:r>
        <w:t>浮动的</w:t>
      </w:r>
      <w:r>
        <w:rPr>
          <w:rFonts w:hint="eastAsia"/>
        </w:rPr>
        <w:t>制度</w:t>
      </w:r>
    </w:p>
    <w:p w:rsidR="00982F7C" w:rsidRDefault="00754E87" w:rsidP="00346B29">
      <w:pPr>
        <w:pStyle w:val="a3"/>
        <w:numPr>
          <w:ilvl w:val="0"/>
          <w:numId w:val="1"/>
        </w:numPr>
        <w:ind w:firstLineChars="0"/>
      </w:pPr>
      <w:r w:rsidRPr="00754E87">
        <w:rPr>
          <w:rFonts w:hint="eastAsia"/>
          <w:b/>
        </w:rPr>
        <w:t>全民所有制</w:t>
      </w:r>
      <w:r>
        <w:t>企业改革股份有限公司时，形成</w:t>
      </w:r>
      <w:r w:rsidRPr="00754E87">
        <w:rPr>
          <w:b/>
        </w:rPr>
        <w:t>国家股</w:t>
      </w:r>
      <w:r>
        <w:t>。</w:t>
      </w:r>
      <w:r w:rsidR="00142BF6">
        <w:rPr>
          <w:rFonts w:hint="eastAsia"/>
        </w:rPr>
        <w:t>因为</w:t>
      </w:r>
      <w:r w:rsidR="00142BF6">
        <w:t>全民所有制企业的</w:t>
      </w:r>
      <w:r w:rsidR="00142BF6">
        <w:rPr>
          <w:rFonts w:hint="eastAsia"/>
        </w:rPr>
        <w:t>资产</w:t>
      </w:r>
      <w:r w:rsidR="00142BF6">
        <w:t>属于国家，所以是国家股</w:t>
      </w:r>
    </w:p>
    <w:p w:rsidR="00602C05" w:rsidRDefault="003D1B86" w:rsidP="00346B29">
      <w:pPr>
        <w:pStyle w:val="a3"/>
        <w:numPr>
          <w:ilvl w:val="0"/>
          <w:numId w:val="1"/>
        </w:numPr>
        <w:ind w:firstLineChars="0"/>
      </w:pPr>
      <w:r>
        <w:rPr>
          <w:rFonts w:hint="eastAsia"/>
        </w:rPr>
        <w:t>在</w:t>
      </w:r>
      <w:r>
        <w:t>证券公司融资融券业务集中度控制方面，</w:t>
      </w:r>
      <w:r w:rsidR="00602C05">
        <w:rPr>
          <w:rFonts w:hint="eastAsia"/>
        </w:rPr>
        <w:t>证券公司</w:t>
      </w:r>
      <w:r w:rsidR="00602C05">
        <w:t>接受单只担保股票的市值不得超过该指股票总市值的</w:t>
      </w:r>
      <w:r w:rsidR="00602C05" w:rsidRPr="00F9733B">
        <w:rPr>
          <w:rFonts w:hint="eastAsia"/>
          <w:b/>
        </w:rPr>
        <w:t>20</w:t>
      </w:r>
      <w:r w:rsidR="00602C05" w:rsidRPr="00F9733B">
        <w:rPr>
          <w:b/>
        </w:rPr>
        <w:t>%</w:t>
      </w:r>
    </w:p>
    <w:p w:rsidR="00346B29" w:rsidRDefault="003D1B86" w:rsidP="00346B29">
      <w:pPr>
        <w:pStyle w:val="a3"/>
        <w:numPr>
          <w:ilvl w:val="0"/>
          <w:numId w:val="1"/>
        </w:numPr>
        <w:ind w:firstLineChars="0"/>
      </w:pPr>
      <w:r>
        <w:t>证券</w:t>
      </w:r>
      <w:r w:rsidRPr="00D3577A">
        <w:rPr>
          <w:b/>
        </w:rPr>
        <w:t>服务</w:t>
      </w:r>
      <w:r>
        <w:t>机构</w:t>
      </w:r>
      <w:r>
        <w:rPr>
          <w:rFonts w:hint="eastAsia"/>
        </w:rPr>
        <w:t>是</w:t>
      </w:r>
      <w:r>
        <w:t>指为证券市场提供相关服务</w:t>
      </w:r>
      <w:r>
        <w:rPr>
          <w:rFonts w:hint="eastAsia"/>
        </w:rPr>
        <w:t>业务</w:t>
      </w:r>
      <w:r>
        <w:t>的</w:t>
      </w:r>
      <w:r w:rsidRPr="00827A93">
        <w:rPr>
          <w:b/>
        </w:rPr>
        <w:t>法人</w:t>
      </w:r>
      <w:r>
        <w:t>机构</w:t>
      </w:r>
    </w:p>
    <w:p w:rsidR="001C3011" w:rsidRDefault="001E47F4" w:rsidP="00346B29">
      <w:pPr>
        <w:pStyle w:val="a3"/>
        <w:numPr>
          <w:ilvl w:val="0"/>
          <w:numId w:val="1"/>
        </w:numPr>
        <w:ind w:firstLineChars="0"/>
      </w:pPr>
      <w:r>
        <w:rPr>
          <w:rFonts w:hint="eastAsia"/>
        </w:rPr>
        <w:t>证券</w:t>
      </w:r>
      <w:r>
        <w:t>金融</w:t>
      </w:r>
      <w:r>
        <w:rPr>
          <w:rFonts w:hint="eastAsia"/>
        </w:rPr>
        <w:t>公司</w:t>
      </w:r>
      <w:r>
        <w:t>根据</w:t>
      </w:r>
      <w:r w:rsidRPr="001E47F4">
        <w:rPr>
          <w:b/>
        </w:rPr>
        <w:t>国务院</w:t>
      </w:r>
      <w:r>
        <w:t>的决定设立</w:t>
      </w:r>
      <w:r>
        <w:rPr>
          <w:rFonts w:hint="eastAsia"/>
        </w:rPr>
        <w:t>，</w:t>
      </w:r>
      <w:r>
        <w:t>注册资本不少于</w:t>
      </w:r>
      <w:r>
        <w:rPr>
          <w:rFonts w:hint="eastAsia"/>
        </w:rPr>
        <w:t>RMB</w:t>
      </w:r>
      <w:r w:rsidRPr="000D485E">
        <w:rPr>
          <w:rFonts w:hint="eastAsia"/>
          <w:b/>
        </w:rPr>
        <w:t>60</w:t>
      </w:r>
      <w:r w:rsidRPr="000D485E">
        <w:rPr>
          <w:rFonts w:hint="eastAsia"/>
          <w:b/>
        </w:rPr>
        <w:t>亿</w:t>
      </w:r>
      <w:r>
        <w:rPr>
          <w:rFonts w:hint="eastAsia"/>
        </w:rPr>
        <w:t>元</w:t>
      </w:r>
    </w:p>
    <w:p w:rsidR="00577B9F" w:rsidRDefault="0049023B" w:rsidP="00346B29">
      <w:pPr>
        <w:pStyle w:val="a3"/>
        <w:numPr>
          <w:ilvl w:val="0"/>
          <w:numId w:val="1"/>
        </w:numPr>
        <w:ind w:firstLineChars="0"/>
      </w:pPr>
      <w:r>
        <w:rPr>
          <w:rFonts w:hint="eastAsia"/>
        </w:rPr>
        <w:t>企业</w:t>
      </w:r>
      <w:r>
        <w:t>债券利率可以为银行相同期限居民</w:t>
      </w:r>
      <w:r>
        <w:rPr>
          <w:rFonts w:hint="eastAsia"/>
        </w:rPr>
        <w:t>储蓄</w:t>
      </w:r>
      <w:r>
        <w:t>定期存款利率的</w:t>
      </w:r>
      <w:r w:rsidRPr="00E16118">
        <w:rPr>
          <w:rFonts w:hint="eastAsia"/>
          <w:b/>
        </w:rPr>
        <w:t>130</w:t>
      </w:r>
      <w:r w:rsidRPr="00E16118">
        <w:rPr>
          <w:b/>
        </w:rPr>
        <w:t>%</w:t>
      </w:r>
      <w:r>
        <w:t>，最高不超过</w:t>
      </w:r>
      <w:r>
        <w:rPr>
          <w:rFonts w:hint="eastAsia"/>
        </w:rPr>
        <w:t>140</w:t>
      </w:r>
      <w:r>
        <w:t>%</w:t>
      </w:r>
    </w:p>
    <w:p w:rsidR="001B2343" w:rsidRDefault="001D6C5A" w:rsidP="00346B29">
      <w:pPr>
        <w:pStyle w:val="a3"/>
        <w:numPr>
          <w:ilvl w:val="0"/>
          <w:numId w:val="1"/>
        </w:numPr>
        <w:ind w:firstLineChars="0"/>
      </w:pPr>
      <w:r>
        <w:rPr>
          <w:rFonts w:hint="eastAsia"/>
        </w:rPr>
        <w:t>基金</w:t>
      </w:r>
      <w:r>
        <w:t>管理公司申请合格境内机构投资者资格</w:t>
      </w:r>
      <w:r>
        <w:rPr>
          <w:rFonts w:hint="eastAsia"/>
        </w:rPr>
        <w:t>QDII</w:t>
      </w:r>
      <w:r>
        <w:t>，其净资</w:t>
      </w:r>
      <w:r w:rsidRPr="001D6C5A">
        <w:rPr>
          <w:b/>
        </w:rPr>
        <w:t>产</w:t>
      </w:r>
      <w:r>
        <w:t>应不少于</w:t>
      </w:r>
      <w:r w:rsidRPr="001D6C5A">
        <w:rPr>
          <w:rFonts w:hint="eastAsia"/>
          <w:b/>
        </w:rPr>
        <w:t>2</w:t>
      </w:r>
      <w:r>
        <w:rPr>
          <w:rFonts w:hint="eastAsia"/>
        </w:rPr>
        <w:t>亿元</w:t>
      </w:r>
      <w:r>
        <w:rPr>
          <w:rFonts w:hint="eastAsia"/>
        </w:rPr>
        <w:t>RMB</w:t>
      </w:r>
    </w:p>
    <w:p w:rsidR="0062171C" w:rsidRDefault="0062171C" w:rsidP="00346B29">
      <w:pPr>
        <w:pStyle w:val="a3"/>
        <w:numPr>
          <w:ilvl w:val="0"/>
          <w:numId w:val="1"/>
        </w:numPr>
        <w:ind w:firstLineChars="0"/>
      </w:pPr>
      <w:r>
        <w:rPr>
          <w:rFonts w:hint="eastAsia"/>
        </w:rPr>
        <w:t>基金管理公司的注册资本不得低于</w:t>
      </w:r>
      <w:r w:rsidRPr="0062171C">
        <w:rPr>
          <w:rFonts w:hint="eastAsia"/>
          <w:b/>
        </w:rPr>
        <w:t>1</w:t>
      </w:r>
      <w:r>
        <w:rPr>
          <w:rFonts w:hint="eastAsia"/>
        </w:rPr>
        <w:t>亿元</w:t>
      </w:r>
      <w:r>
        <w:rPr>
          <w:rFonts w:hint="eastAsia"/>
        </w:rPr>
        <w:t>RMB</w:t>
      </w:r>
      <w:r>
        <w:rPr>
          <w:rFonts w:hint="eastAsia"/>
        </w:rPr>
        <w:t>，且必须为</w:t>
      </w:r>
      <w:r w:rsidRPr="0062171C">
        <w:rPr>
          <w:rFonts w:hint="eastAsia"/>
          <w:b/>
        </w:rPr>
        <w:t>实缴货币</w:t>
      </w:r>
      <w:r>
        <w:rPr>
          <w:rFonts w:hint="eastAsia"/>
        </w:rPr>
        <w:t>资本</w:t>
      </w:r>
    </w:p>
    <w:p w:rsidR="00A16E7C" w:rsidRDefault="00A16E7C" w:rsidP="00346B29">
      <w:pPr>
        <w:pStyle w:val="a3"/>
        <w:numPr>
          <w:ilvl w:val="0"/>
          <w:numId w:val="1"/>
        </w:numPr>
        <w:ind w:firstLineChars="0"/>
      </w:pPr>
      <w:r>
        <w:rPr>
          <w:rFonts w:hint="eastAsia"/>
        </w:rPr>
        <w:t>保险</w:t>
      </w:r>
      <w:r>
        <w:t>公司次级债务</w:t>
      </w:r>
      <w:r>
        <w:rPr>
          <w:rFonts w:hint="eastAsia"/>
        </w:rPr>
        <w:t>是指</w:t>
      </w:r>
      <w:r>
        <w:t>：</w:t>
      </w:r>
    </w:p>
    <w:p w:rsidR="00A16E7C" w:rsidRDefault="00A16E7C" w:rsidP="00A16E7C">
      <w:pPr>
        <w:pStyle w:val="a3"/>
        <w:ind w:left="360" w:firstLineChars="0" w:firstLine="0"/>
      </w:pPr>
      <w:r>
        <w:t>期限</w:t>
      </w:r>
      <w:r>
        <w:rPr>
          <w:rFonts w:hint="eastAsia"/>
        </w:rPr>
        <w:t>在</w:t>
      </w:r>
      <w:r w:rsidRPr="00C24BCE">
        <w:rPr>
          <w:rFonts w:hint="eastAsia"/>
          <w:b/>
        </w:rPr>
        <w:t>5</w:t>
      </w:r>
      <w:r>
        <w:rPr>
          <w:rFonts w:hint="eastAsia"/>
        </w:rPr>
        <w:t>年或者</w:t>
      </w:r>
      <w:r>
        <w:t>以上</w:t>
      </w:r>
    </w:p>
    <w:p w:rsidR="00A16E7C" w:rsidRDefault="00A16E7C" w:rsidP="00A16E7C">
      <w:pPr>
        <w:pStyle w:val="a3"/>
        <w:ind w:left="360" w:firstLineChars="0" w:firstLine="0"/>
      </w:pPr>
      <w:r>
        <w:rPr>
          <w:rFonts w:hint="eastAsia"/>
        </w:rPr>
        <w:t>本金</w:t>
      </w:r>
      <w:r>
        <w:t>和利息的清偿顺序在</w:t>
      </w:r>
      <w:r w:rsidRPr="00E532FB">
        <w:rPr>
          <w:b/>
        </w:rPr>
        <w:t>保单</w:t>
      </w:r>
      <w:r>
        <w:rPr>
          <w:rFonts w:hint="eastAsia"/>
        </w:rPr>
        <w:t>和</w:t>
      </w:r>
      <w:r>
        <w:t>其他</w:t>
      </w:r>
      <w:r w:rsidRPr="004B2A15">
        <w:rPr>
          <w:b/>
        </w:rPr>
        <w:t>负债</w:t>
      </w:r>
      <w:r w:rsidRPr="00051B15">
        <w:rPr>
          <w:b/>
        </w:rPr>
        <w:t>之后</w:t>
      </w:r>
    </w:p>
    <w:p w:rsidR="00A16E7C" w:rsidRDefault="00A16E7C" w:rsidP="00A16E7C">
      <w:pPr>
        <w:pStyle w:val="a3"/>
        <w:ind w:left="360" w:firstLineChars="0" w:firstLine="0"/>
        <w:rPr>
          <w:b/>
        </w:rPr>
      </w:pPr>
      <w:r>
        <w:t>保险公司</w:t>
      </w:r>
      <w:r w:rsidRPr="00206209">
        <w:rPr>
          <w:b/>
        </w:rPr>
        <w:t>股权</w:t>
      </w:r>
      <w:r>
        <w:t>资本</w:t>
      </w:r>
      <w:r w:rsidRPr="00051B15">
        <w:rPr>
          <w:rFonts w:hint="eastAsia"/>
          <w:b/>
        </w:rPr>
        <w:t>之前</w:t>
      </w:r>
    </w:p>
    <w:p w:rsidR="003740D3" w:rsidRPr="00214D41" w:rsidRDefault="002A1EFC" w:rsidP="00214D41">
      <w:pPr>
        <w:pStyle w:val="a3"/>
        <w:numPr>
          <w:ilvl w:val="0"/>
          <w:numId w:val="1"/>
        </w:numPr>
        <w:ind w:left="0" w:firstLineChars="0" w:firstLine="0"/>
        <w:rPr>
          <w:rFonts w:hint="eastAsia"/>
        </w:rPr>
      </w:pPr>
      <w:r>
        <w:rPr>
          <w:rFonts w:hint="eastAsia"/>
        </w:rPr>
        <w:t>保险</w:t>
      </w:r>
      <w:r>
        <w:t>公司</w:t>
      </w:r>
      <w:r>
        <w:rPr>
          <w:rFonts w:hint="eastAsia"/>
        </w:rPr>
        <w:t>资金可用于股票、债券、基金</w:t>
      </w:r>
    </w:p>
    <w:p w:rsidR="00A16E7C" w:rsidRPr="002505C9" w:rsidRDefault="009445C6" w:rsidP="00346B29">
      <w:pPr>
        <w:pStyle w:val="a3"/>
        <w:numPr>
          <w:ilvl w:val="0"/>
          <w:numId w:val="1"/>
        </w:numPr>
        <w:ind w:firstLineChars="0"/>
      </w:pPr>
      <w:r>
        <w:rPr>
          <w:rFonts w:hint="eastAsia"/>
        </w:rPr>
        <w:t>企业</w:t>
      </w:r>
      <w:r>
        <w:t>债券募集资金不得用于房地产买卖、股票买卖、期货</w:t>
      </w:r>
      <w:r>
        <w:rPr>
          <w:rFonts w:hint="eastAsia"/>
        </w:rPr>
        <w:t>交易等</w:t>
      </w:r>
      <w:r w:rsidRPr="009445C6">
        <w:rPr>
          <w:rFonts w:hint="eastAsia"/>
          <w:b/>
        </w:rPr>
        <w:t>与</w:t>
      </w:r>
      <w:r w:rsidRPr="009445C6">
        <w:rPr>
          <w:b/>
        </w:rPr>
        <w:t>本</w:t>
      </w:r>
      <w:r w:rsidRPr="009445C6">
        <w:rPr>
          <w:rFonts w:hint="eastAsia"/>
          <w:b/>
        </w:rPr>
        <w:t>企业</w:t>
      </w:r>
      <w:r w:rsidRPr="009445C6">
        <w:rPr>
          <w:b/>
        </w:rPr>
        <w:t>生产经营无关的风险</w:t>
      </w:r>
      <w:r w:rsidRPr="009445C6">
        <w:rPr>
          <w:rFonts w:hint="eastAsia"/>
          <w:b/>
        </w:rPr>
        <w:t>性投资</w:t>
      </w:r>
    </w:p>
    <w:p w:rsidR="002505C9" w:rsidRDefault="00055531" w:rsidP="00346B29">
      <w:pPr>
        <w:pStyle w:val="a3"/>
        <w:numPr>
          <w:ilvl w:val="0"/>
          <w:numId w:val="1"/>
        </w:numPr>
        <w:ind w:firstLineChars="0"/>
      </w:pPr>
      <w:r w:rsidRPr="00707346">
        <w:rPr>
          <w:rFonts w:hint="eastAsia"/>
          <w:b/>
        </w:rPr>
        <w:t>凭证式</w:t>
      </w:r>
      <w:r>
        <w:t>国债</w:t>
      </w:r>
      <w:r>
        <w:rPr>
          <w:rFonts w:hint="eastAsia"/>
        </w:rPr>
        <w:t>是</w:t>
      </w:r>
      <w:r>
        <w:t>一种</w:t>
      </w:r>
      <w:r w:rsidRPr="00990AE5">
        <w:rPr>
          <w:rFonts w:hint="eastAsia"/>
          <w:b/>
        </w:rPr>
        <w:t>不可上市</w:t>
      </w:r>
      <w:r w:rsidRPr="00990AE5">
        <w:rPr>
          <w:b/>
        </w:rPr>
        <w:t>流通</w:t>
      </w:r>
      <w:r>
        <w:rPr>
          <w:rFonts w:hint="eastAsia"/>
        </w:rPr>
        <w:t>的</w:t>
      </w:r>
      <w:r w:rsidRPr="005D263A">
        <w:rPr>
          <w:b/>
        </w:rPr>
        <w:t>储蓄型</w:t>
      </w:r>
      <w:r>
        <w:t>债券，</w:t>
      </w:r>
      <w:r>
        <w:rPr>
          <w:rFonts w:hint="eastAsia"/>
        </w:rPr>
        <w:t>利率</w:t>
      </w:r>
      <w:r>
        <w:t>按照实际持有天数</w:t>
      </w:r>
      <w:r>
        <w:t>“</w:t>
      </w:r>
      <w:r>
        <w:rPr>
          <w:rFonts w:hint="eastAsia"/>
        </w:rPr>
        <w:t>分档</w:t>
      </w:r>
      <w:r>
        <w:t>计</w:t>
      </w:r>
      <w:r>
        <w:rPr>
          <w:rFonts w:hint="eastAsia"/>
        </w:rPr>
        <w:t>付</w:t>
      </w:r>
      <w:r>
        <w:t>”</w:t>
      </w:r>
      <w:r>
        <w:rPr>
          <w:rFonts w:hint="eastAsia"/>
        </w:rPr>
        <w:t>，</w:t>
      </w:r>
      <w:r>
        <w:t>一般委托中国人民银行分配承销数额</w:t>
      </w:r>
    </w:p>
    <w:p w:rsidR="00B3048C" w:rsidRDefault="00B3048C" w:rsidP="00346B29">
      <w:pPr>
        <w:pStyle w:val="a3"/>
        <w:numPr>
          <w:ilvl w:val="0"/>
          <w:numId w:val="1"/>
        </w:numPr>
        <w:ind w:firstLineChars="0"/>
      </w:pPr>
      <w:r w:rsidRPr="00B3048C">
        <w:rPr>
          <w:rFonts w:hint="eastAsia"/>
        </w:rPr>
        <w:t>凭证式国债</w:t>
      </w:r>
      <w:r>
        <w:rPr>
          <w:rFonts w:hint="eastAsia"/>
        </w:rPr>
        <w:t>面向</w:t>
      </w:r>
      <w:r>
        <w:t>个人和机构投资者</w:t>
      </w:r>
    </w:p>
    <w:p w:rsidR="00B3048C" w:rsidRDefault="00B3048C" w:rsidP="00346B29">
      <w:pPr>
        <w:pStyle w:val="a3"/>
        <w:numPr>
          <w:ilvl w:val="0"/>
          <w:numId w:val="1"/>
        </w:numPr>
        <w:ind w:firstLineChars="0"/>
      </w:pPr>
      <w:r>
        <w:rPr>
          <w:rFonts w:hint="eastAsia"/>
        </w:rPr>
        <w:t>储蓄式</w:t>
      </w:r>
      <w:r>
        <w:t>国债</w:t>
      </w:r>
      <w:r>
        <w:rPr>
          <w:rFonts w:hint="eastAsia"/>
        </w:rPr>
        <w:t>只</w:t>
      </w:r>
      <w:r>
        <w:t>面向个人</w:t>
      </w:r>
    </w:p>
    <w:p w:rsidR="00A677B4" w:rsidRDefault="00A677B4" w:rsidP="00346B29">
      <w:pPr>
        <w:pStyle w:val="a3"/>
        <w:numPr>
          <w:ilvl w:val="0"/>
          <w:numId w:val="1"/>
        </w:numPr>
        <w:ind w:firstLineChars="0"/>
      </w:pPr>
      <w:r w:rsidRPr="00707346">
        <w:rPr>
          <w:rFonts w:hint="eastAsia"/>
          <w:b/>
        </w:rPr>
        <w:t>记账式</w:t>
      </w:r>
      <w:r>
        <w:rPr>
          <w:rFonts w:hint="eastAsia"/>
        </w:rPr>
        <w:t>国债由财政部</w:t>
      </w:r>
      <w:r w:rsidRPr="001D1396">
        <w:rPr>
          <w:rFonts w:hint="eastAsia"/>
          <w:b/>
        </w:rPr>
        <w:t>公开招标</w:t>
      </w:r>
      <w:r>
        <w:rPr>
          <w:rFonts w:hint="eastAsia"/>
        </w:rPr>
        <w:t>发行</w:t>
      </w:r>
    </w:p>
    <w:p w:rsidR="00055531" w:rsidRDefault="00A80369" w:rsidP="00346B29">
      <w:pPr>
        <w:pStyle w:val="a3"/>
        <w:numPr>
          <w:ilvl w:val="0"/>
          <w:numId w:val="1"/>
        </w:numPr>
        <w:ind w:firstLineChars="0"/>
      </w:pPr>
      <w:r>
        <w:rPr>
          <w:rFonts w:hint="eastAsia"/>
        </w:rPr>
        <w:t>1987</w:t>
      </w:r>
      <w:r>
        <w:rPr>
          <w:rFonts w:hint="eastAsia"/>
        </w:rPr>
        <w:t>年</w:t>
      </w:r>
      <w:r>
        <w:rPr>
          <w:rFonts w:hint="eastAsia"/>
        </w:rPr>
        <w:t>10</w:t>
      </w:r>
      <w:r>
        <w:rPr>
          <w:rFonts w:hint="eastAsia"/>
        </w:rPr>
        <w:t>月</w:t>
      </w:r>
      <w:r>
        <w:t>，</w:t>
      </w:r>
      <w:r>
        <w:rPr>
          <w:rFonts w:hint="eastAsia"/>
        </w:rPr>
        <w:t>中国</w:t>
      </w:r>
      <w:r>
        <w:t>财政部在德国法兰克福首次</w:t>
      </w:r>
      <w:r>
        <w:rPr>
          <w:rFonts w:hint="eastAsia"/>
        </w:rPr>
        <w:t>发行</w:t>
      </w:r>
      <w:r>
        <w:t>了</w:t>
      </w:r>
      <w:r>
        <w:rPr>
          <w:rFonts w:hint="eastAsia"/>
        </w:rPr>
        <w:t>3</w:t>
      </w:r>
      <w:r>
        <w:rPr>
          <w:rFonts w:hint="eastAsia"/>
        </w:rPr>
        <w:t>亿</w:t>
      </w:r>
      <w:r>
        <w:t>德国马克的公募债券</w:t>
      </w:r>
      <w:r>
        <w:rPr>
          <w:rFonts w:hint="eastAsia"/>
        </w:rPr>
        <w:t>（首次</w:t>
      </w:r>
      <w:r>
        <w:t>在国外发行债券</w:t>
      </w:r>
      <w:r>
        <w:rPr>
          <w:rFonts w:hint="eastAsia"/>
        </w:rPr>
        <w:t>）</w:t>
      </w:r>
    </w:p>
    <w:p w:rsidR="000D6135" w:rsidRDefault="000D6135" w:rsidP="00346B29">
      <w:pPr>
        <w:pStyle w:val="a3"/>
        <w:numPr>
          <w:ilvl w:val="0"/>
          <w:numId w:val="1"/>
        </w:numPr>
        <w:ind w:firstLineChars="0"/>
      </w:pPr>
      <w:r>
        <w:rPr>
          <w:rFonts w:hint="eastAsia"/>
        </w:rPr>
        <w:t>股利政策</w:t>
      </w:r>
      <w:r>
        <w:t>包括</w:t>
      </w:r>
      <w:r>
        <w:rPr>
          <w:rFonts w:hint="eastAsia"/>
        </w:rPr>
        <w:t>：派现</w:t>
      </w:r>
      <w:r>
        <w:t>、送股、</w:t>
      </w:r>
      <w:r w:rsidRPr="00853D45">
        <w:rPr>
          <w:b/>
        </w:rPr>
        <w:t>资本公积金转</w:t>
      </w:r>
      <w:r w:rsidRPr="00853D45">
        <w:rPr>
          <w:rFonts w:hint="eastAsia"/>
          <w:b/>
        </w:rPr>
        <w:t>赠资本</w:t>
      </w:r>
      <w:r>
        <w:t>、</w:t>
      </w:r>
      <w:r w:rsidRPr="004A49E6">
        <w:rPr>
          <w:b/>
        </w:rPr>
        <w:t>四个</w:t>
      </w:r>
      <w:r>
        <w:t>重要日期</w:t>
      </w:r>
    </w:p>
    <w:p w:rsidR="000D6135" w:rsidRPr="000D6135" w:rsidRDefault="000D6135" w:rsidP="000D6135">
      <w:pPr>
        <w:pStyle w:val="a3"/>
        <w:ind w:left="360" w:firstLineChars="0" w:firstLine="0"/>
      </w:pPr>
      <w:r>
        <w:rPr>
          <w:rFonts w:hint="eastAsia"/>
        </w:rPr>
        <w:t>股份</w:t>
      </w:r>
      <w:r>
        <w:t>变动包括：股票分割、合并、增发、配股、转增股本、</w:t>
      </w:r>
      <w:r>
        <w:rPr>
          <w:rFonts w:hint="eastAsia"/>
        </w:rPr>
        <w:t>股份</w:t>
      </w:r>
      <w:r>
        <w:t>回购</w:t>
      </w:r>
    </w:p>
    <w:p w:rsidR="000D6135" w:rsidRDefault="00523ADC" w:rsidP="00346B29">
      <w:pPr>
        <w:pStyle w:val="a3"/>
        <w:numPr>
          <w:ilvl w:val="0"/>
          <w:numId w:val="1"/>
        </w:numPr>
        <w:ind w:firstLineChars="0"/>
      </w:pPr>
      <w:r>
        <w:rPr>
          <w:rFonts w:hint="eastAsia"/>
        </w:rPr>
        <w:t>股票</w:t>
      </w:r>
      <w:r>
        <w:t>市场价格最直接的影响因素是供求关系，其他因素是通过影响供求关系来间接</w:t>
      </w:r>
      <w:r>
        <w:rPr>
          <w:rFonts w:hint="eastAsia"/>
        </w:rPr>
        <w:t>影响</w:t>
      </w:r>
      <w:r>
        <w:t>股价的</w:t>
      </w:r>
    </w:p>
    <w:p w:rsidR="00523ADC" w:rsidRDefault="00AA3A70" w:rsidP="00346B29">
      <w:pPr>
        <w:pStyle w:val="a3"/>
        <w:numPr>
          <w:ilvl w:val="0"/>
          <w:numId w:val="1"/>
        </w:numPr>
        <w:ind w:firstLineChars="0"/>
      </w:pPr>
      <w:r>
        <w:rPr>
          <w:rFonts w:hint="eastAsia"/>
        </w:rPr>
        <w:t>证券</w:t>
      </w:r>
      <w:r>
        <w:t>投资者基金的用途只能是：</w:t>
      </w:r>
    </w:p>
    <w:p w:rsidR="00AA3A70" w:rsidRDefault="00AA3A70" w:rsidP="00AA3A70">
      <w:pPr>
        <w:pStyle w:val="a3"/>
        <w:ind w:left="360" w:firstLineChars="0" w:firstLine="0"/>
      </w:pPr>
      <w:r>
        <w:rPr>
          <w:rFonts w:hint="eastAsia"/>
        </w:rPr>
        <w:t>购买</w:t>
      </w:r>
      <w:r>
        <w:t>国债</w:t>
      </w:r>
    </w:p>
    <w:p w:rsidR="00AA3A70" w:rsidRDefault="00AA3A70" w:rsidP="00AA3A70">
      <w:pPr>
        <w:pStyle w:val="a3"/>
        <w:ind w:left="360" w:firstLineChars="0" w:firstLine="0"/>
      </w:pPr>
      <w:r>
        <w:rPr>
          <w:rFonts w:hint="eastAsia"/>
        </w:rPr>
        <w:t>银行</w:t>
      </w:r>
      <w:r>
        <w:t>存款</w:t>
      </w:r>
    </w:p>
    <w:p w:rsidR="00AA3A70" w:rsidRDefault="00AA3A70" w:rsidP="00AA3A70">
      <w:pPr>
        <w:pStyle w:val="a3"/>
        <w:ind w:left="360" w:firstLineChars="0" w:firstLine="0"/>
      </w:pPr>
      <w:r>
        <w:rPr>
          <w:rFonts w:hint="eastAsia"/>
        </w:rPr>
        <w:t>中央银行</w:t>
      </w:r>
      <w:r>
        <w:t>债券</w:t>
      </w:r>
      <w:r>
        <w:rPr>
          <w:rFonts w:hint="eastAsia"/>
        </w:rPr>
        <w:t>（包括</w:t>
      </w:r>
      <w:r>
        <w:t>中央银行票据</w:t>
      </w:r>
      <w:r>
        <w:rPr>
          <w:rFonts w:hint="eastAsia"/>
        </w:rPr>
        <w:t>）</w:t>
      </w:r>
    </w:p>
    <w:p w:rsidR="00AA3A70" w:rsidRPr="00AA3A70" w:rsidRDefault="00AA3A70" w:rsidP="00AA3A70">
      <w:pPr>
        <w:pStyle w:val="a3"/>
        <w:ind w:left="360" w:firstLineChars="0" w:firstLine="0"/>
      </w:pPr>
      <w:r>
        <w:rPr>
          <w:rFonts w:hint="eastAsia"/>
        </w:rPr>
        <w:t>中央级</w:t>
      </w:r>
      <w:r>
        <w:t>金融机构发行的金融债券以及国务院批准的其他资金</w:t>
      </w:r>
      <w:r>
        <w:rPr>
          <w:rFonts w:hint="eastAsia"/>
        </w:rPr>
        <w:t>运用</w:t>
      </w:r>
      <w:r>
        <w:t>形式</w:t>
      </w:r>
    </w:p>
    <w:p w:rsidR="00AA3A70" w:rsidRDefault="009608BD" w:rsidP="009E7D9C">
      <w:pPr>
        <w:pStyle w:val="a3"/>
        <w:ind w:left="360" w:firstLineChars="0" w:firstLine="0"/>
      </w:pPr>
      <w:r>
        <w:rPr>
          <w:rFonts w:hint="eastAsia"/>
        </w:rPr>
        <w:t>基金</w:t>
      </w:r>
      <w:r>
        <w:t>收益率</w:t>
      </w:r>
      <w:r>
        <w:rPr>
          <w:rFonts w:hint="eastAsia"/>
        </w:rPr>
        <w:t>稳定</w:t>
      </w:r>
      <w:r>
        <w:t>、投资分散、高流动性，适合社保基金等数额较大、风险承受能力较低的资金投资</w:t>
      </w:r>
    </w:p>
    <w:p w:rsidR="009608BD" w:rsidRDefault="00D036A1" w:rsidP="00346B29">
      <w:pPr>
        <w:pStyle w:val="a3"/>
        <w:numPr>
          <w:ilvl w:val="0"/>
          <w:numId w:val="1"/>
        </w:numPr>
        <w:ind w:firstLineChars="0"/>
      </w:pPr>
      <w:r>
        <w:rPr>
          <w:rFonts w:hint="eastAsia"/>
        </w:rPr>
        <w:t>全国</w:t>
      </w:r>
      <w:r>
        <w:t>中小企业股份转让系统的股票转让方式，主要有协议</w:t>
      </w:r>
      <w:r>
        <w:rPr>
          <w:rFonts w:hint="eastAsia"/>
        </w:rPr>
        <w:t>、</w:t>
      </w:r>
      <w:r>
        <w:t>做市</w:t>
      </w:r>
      <w:r>
        <w:rPr>
          <w:rFonts w:hint="eastAsia"/>
        </w:rPr>
        <w:t>两种</w:t>
      </w:r>
    </w:p>
    <w:p w:rsidR="00D036A1" w:rsidRDefault="002545F1" w:rsidP="00346B29">
      <w:pPr>
        <w:pStyle w:val="a3"/>
        <w:numPr>
          <w:ilvl w:val="0"/>
          <w:numId w:val="1"/>
        </w:numPr>
        <w:ind w:firstLineChars="0"/>
      </w:pPr>
      <w:r>
        <w:rPr>
          <w:rFonts w:hint="eastAsia"/>
        </w:rPr>
        <w:t>金融债券的登记、托管机构是</w:t>
      </w:r>
      <w:r w:rsidRPr="002545F1">
        <w:rPr>
          <w:rFonts w:hint="eastAsia"/>
          <w:b/>
        </w:rPr>
        <w:t>中央国债登记</w:t>
      </w:r>
      <w:r>
        <w:rPr>
          <w:rFonts w:hint="eastAsia"/>
        </w:rPr>
        <w:t>结算公司</w:t>
      </w:r>
    </w:p>
    <w:p w:rsidR="000417BD" w:rsidRDefault="000417BD" w:rsidP="00346B29">
      <w:pPr>
        <w:pStyle w:val="a3"/>
        <w:numPr>
          <w:ilvl w:val="0"/>
          <w:numId w:val="1"/>
        </w:numPr>
        <w:ind w:firstLineChars="0"/>
      </w:pPr>
      <w:r>
        <w:rPr>
          <w:rFonts w:hint="eastAsia"/>
        </w:rPr>
        <w:t>证券登记结算采取</w:t>
      </w:r>
      <w:r w:rsidRPr="00C134B2">
        <w:rPr>
          <w:rFonts w:hint="eastAsia"/>
          <w:b/>
        </w:rPr>
        <w:t>全国集中</w:t>
      </w:r>
      <w:r>
        <w:rPr>
          <w:rFonts w:hint="eastAsia"/>
        </w:rPr>
        <w:t>统一</w:t>
      </w:r>
      <w:r w:rsidR="00C134B2">
        <w:rPr>
          <w:rFonts w:hint="eastAsia"/>
        </w:rPr>
        <w:t>管理</w:t>
      </w:r>
    </w:p>
    <w:p w:rsidR="00B60B43" w:rsidRDefault="00807E7A" w:rsidP="00346B29">
      <w:pPr>
        <w:pStyle w:val="a3"/>
        <w:numPr>
          <w:ilvl w:val="0"/>
          <w:numId w:val="1"/>
        </w:numPr>
        <w:ind w:firstLineChars="0"/>
      </w:pPr>
      <w:r>
        <w:rPr>
          <w:rFonts w:hint="eastAsia"/>
        </w:rPr>
        <w:t>记账式国债承销程序包括：</w:t>
      </w:r>
    </w:p>
    <w:p w:rsidR="00807E7A" w:rsidRDefault="00807E7A" w:rsidP="00807E7A">
      <w:pPr>
        <w:pStyle w:val="a3"/>
        <w:ind w:left="360" w:firstLineChars="0" w:firstLine="0"/>
      </w:pPr>
      <w:r>
        <w:rPr>
          <w:rFonts w:hint="eastAsia"/>
        </w:rPr>
        <w:t>招标发行、远程投标、债券</w:t>
      </w:r>
      <w:r w:rsidRPr="00807E7A">
        <w:rPr>
          <w:rFonts w:hint="eastAsia"/>
          <w:b/>
        </w:rPr>
        <w:t>托管</w:t>
      </w:r>
      <w:r>
        <w:rPr>
          <w:rFonts w:hint="eastAsia"/>
        </w:rPr>
        <w:t>、分销</w:t>
      </w:r>
    </w:p>
    <w:p w:rsidR="00807E7A" w:rsidRDefault="00227A02" w:rsidP="00227A02">
      <w:pPr>
        <w:pStyle w:val="a3"/>
        <w:numPr>
          <w:ilvl w:val="0"/>
          <w:numId w:val="1"/>
        </w:numPr>
        <w:ind w:firstLineChars="0"/>
      </w:pPr>
      <w:r>
        <w:rPr>
          <w:rFonts w:hint="eastAsia"/>
        </w:rPr>
        <w:t>G</w:t>
      </w:r>
      <w:r>
        <w:rPr>
          <w:rFonts w:hint="eastAsia"/>
        </w:rPr>
        <w:t>股：</w:t>
      </w:r>
      <w:r w:rsidRPr="00227A02">
        <w:rPr>
          <w:rFonts w:hint="eastAsia"/>
        </w:rPr>
        <w:t>股权分置改革试点股票</w:t>
      </w:r>
    </w:p>
    <w:p w:rsidR="00A239C7" w:rsidRDefault="00A239C7" w:rsidP="00A239C7">
      <w:pPr>
        <w:pStyle w:val="a3"/>
        <w:numPr>
          <w:ilvl w:val="0"/>
          <w:numId w:val="1"/>
        </w:numPr>
        <w:ind w:firstLineChars="0"/>
      </w:pPr>
      <w:r>
        <w:rPr>
          <w:rFonts w:hint="eastAsia"/>
        </w:rPr>
        <w:lastRenderedPageBreak/>
        <w:t>S</w:t>
      </w:r>
      <w:r>
        <w:rPr>
          <w:rFonts w:hint="eastAsia"/>
        </w:rPr>
        <w:t>股：</w:t>
      </w:r>
      <w:r w:rsidRPr="00A239C7">
        <w:rPr>
          <w:rFonts w:hint="eastAsia"/>
        </w:rPr>
        <w:t>尚未进行股权分置改革或者已进入改革程序但尚未实施股权分置改革方案的股票</w:t>
      </w:r>
      <w:r>
        <w:rPr>
          <w:rFonts w:hint="eastAsia"/>
        </w:rPr>
        <w:t>，涨跌幅</w:t>
      </w:r>
      <w:r>
        <w:rPr>
          <w:rFonts w:hint="eastAsia"/>
        </w:rPr>
        <w:t>5%</w:t>
      </w:r>
    </w:p>
    <w:p w:rsidR="00A239C7" w:rsidRDefault="00A239C7" w:rsidP="00682636">
      <w:pPr>
        <w:pStyle w:val="a3"/>
        <w:numPr>
          <w:ilvl w:val="0"/>
          <w:numId w:val="1"/>
        </w:numPr>
        <w:ind w:firstLineChars="0"/>
      </w:pPr>
      <w:r>
        <w:rPr>
          <w:rFonts w:hint="eastAsia"/>
        </w:rPr>
        <w:t>ST</w:t>
      </w:r>
      <w:r>
        <w:rPr>
          <w:rFonts w:hint="eastAsia"/>
        </w:rPr>
        <w:t>股：</w:t>
      </w:r>
      <w:r w:rsidR="00682636" w:rsidRPr="00682636">
        <w:rPr>
          <w:rFonts w:hint="eastAsia"/>
        </w:rPr>
        <w:t>财务状况或其它状况出现异常的上市公司股票</w:t>
      </w:r>
      <w:r w:rsidR="00973109">
        <w:rPr>
          <w:rFonts w:hint="eastAsia"/>
        </w:rPr>
        <w:t>，</w:t>
      </w:r>
      <w:r w:rsidR="00973109">
        <w:rPr>
          <w:rFonts w:hint="eastAsia"/>
        </w:rPr>
        <w:t xml:space="preserve">special </w:t>
      </w:r>
      <w:r w:rsidR="006D2B96">
        <w:rPr>
          <w:rFonts w:hint="eastAsia"/>
        </w:rPr>
        <w:t xml:space="preserve"> </w:t>
      </w:r>
      <w:r w:rsidR="00973109">
        <w:rPr>
          <w:rFonts w:hint="eastAsia"/>
        </w:rPr>
        <w:t>treat</w:t>
      </w:r>
    </w:p>
    <w:p w:rsidR="00866F42" w:rsidRDefault="00E80A31" w:rsidP="00682636">
      <w:pPr>
        <w:pStyle w:val="a3"/>
        <w:numPr>
          <w:ilvl w:val="0"/>
          <w:numId w:val="1"/>
        </w:numPr>
        <w:ind w:firstLineChars="0"/>
      </w:pPr>
      <w:r>
        <w:rPr>
          <w:rFonts w:hint="eastAsia"/>
        </w:rPr>
        <w:t>次级债务，由商业银行发行，固定期限不低于</w:t>
      </w:r>
      <w:r>
        <w:rPr>
          <w:rFonts w:hint="eastAsia"/>
        </w:rPr>
        <w:t>5</w:t>
      </w:r>
      <w:r>
        <w:rPr>
          <w:rFonts w:hint="eastAsia"/>
        </w:rPr>
        <w:t>年及以上</w:t>
      </w:r>
    </w:p>
    <w:p w:rsidR="005D5371" w:rsidRDefault="003C2F86" w:rsidP="00682636">
      <w:pPr>
        <w:pStyle w:val="a3"/>
        <w:numPr>
          <w:ilvl w:val="0"/>
          <w:numId w:val="1"/>
        </w:numPr>
        <w:ind w:firstLineChars="0"/>
      </w:pPr>
      <w:r>
        <w:rPr>
          <w:rFonts w:hint="eastAsia"/>
        </w:rPr>
        <w:t>我国创业板市场于</w:t>
      </w:r>
      <w:r w:rsidRPr="003C2F86">
        <w:rPr>
          <w:rFonts w:hint="eastAsia"/>
          <w:b/>
        </w:rPr>
        <w:t>2009</w:t>
      </w:r>
      <w:r>
        <w:rPr>
          <w:rFonts w:hint="eastAsia"/>
        </w:rPr>
        <w:t>年在深圳证券交易所正式启动</w:t>
      </w:r>
    </w:p>
    <w:p w:rsidR="00F9304D" w:rsidRDefault="0009254E" w:rsidP="00682636">
      <w:pPr>
        <w:pStyle w:val="a3"/>
        <w:numPr>
          <w:ilvl w:val="0"/>
          <w:numId w:val="1"/>
        </w:numPr>
        <w:ind w:firstLineChars="0"/>
      </w:pPr>
      <w:r>
        <w:rPr>
          <w:rFonts w:hint="eastAsia"/>
        </w:rPr>
        <w:t>全国中小企业股份转让系统，对股票的转让</w:t>
      </w:r>
      <w:r w:rsidRPr="00A81EAC">
        <w:rPr>
          <w:rFonts w:hint="eastAsia"/>
          <w:b/>
        </w:rPr>
        <w:t>不设置</w:t>
      </w:r>
      <w:r>
        <w:rPr>
          <w:rFonts w:hint="eastAsia"/>
        </w:rPr>
        <w:t>涨跌幅限制</w:t>
      </w:r>
    </w:p>
    <w:p w:rsidR="00A1643F" w:rsidRDefault="000546E8" w:rsidP="00682636">
      <w:pPr>
        <w:pStyle w:val="a3"/>
        <w:numPr>
          <w:ilvl w:val="0"/>
          <w:numId w:val="1"/>
        </w:numPr>
        <w:ind w:firstLineChars="0"/>
      </w:pPr>
      <w:r>
        <w:rPr>
          <w:rFonts w:hint="eastAsia"/>
        </w:rPr>
        <w:t>盈余单位</w:t>
      </w:r>
      <w:r>
        <w:t>：当前的总储蓄超过当前在资本品</w:t>
      </w:r>
      <w:r>
        <w:rPr>
          <w:rFonts w:hint="eastAsia"/>
        </w:rPr>
        <w:t>上</w:t>
      </w:r>
      <w:r>
        <w:t>支出的参与者</w:t>
      </w:r>
    </w:p>
    <w:p w:rsidR="000546E8" w:rsidRDefault="000546E8" w:rsidP="00682636">
      <w:pPr>
        <w:pStyle w:val="a3"/>
        <w:numPr>
          <w:ilvl w:val="0"/>
          <w:numId w:val="1"/>
        </w:numPr>
        <w:ind w:firstLineChars="0"/>
      </w:pPr>
      <w:r>
        <w:rPr>
          <w:rFonts w:hint="eastAsia"/>
        </w:rPr>
        <w:t>盈余</w:t>
      </w:r>
      <w:r>
        <w:t>资金：盈余单位的当前的总储蓄超过当前资本支出</w:t>
      </w:r>
    </w:p>
    <w:p w:rsidR="001A0782" w:rsidRDefault="001A0782" w:rsidP="00682636">
      <w:pPr>
        <w:pStyle w:val="a3"/>
        <w:numPr>
          <w:ilvl w:val="0"/>
          <w:numId w:val="1"/>
        </w:numPr>
        <w:ind w:firstLineChars="0"/>
      </w:pPr>
      <w:r>
        <w:rPr>
          <w:rFonts w:hint="eastAsia"/>
        </w:rPr>
        <w:t>境外</w:t>
      </w:r>
      <w:r>
        <w:t>上市外资股，以</w:t>
      </w:r>
      <w:r>
        <w:rPr>
          <w:rFonts w:hint="eastAsia"/>
        </w:rPr>
        <w:t>RMB</w:t>
      </w:r>
      <w:r>
        <w:rPr>
          <w:rFonts w:hint="eastAsia"/>
        </w:rPr>
        <w:t>标明</w:t>
      </w:r>
      <w:r>
        <w:t>面值，以外币认购</w:t>
      </w:r>
    </w:p>
    <w:p w:rsidR="001A0782" w:rsidRDefault="00305143" w:rsidP="00682636">
      <w:pPr>
        <w:pStyle w:val="a3"/>
        <w:numPr>
          <w:ilvl w:val="0"/>
          <w:numId w:val="1"/>
        </w:numPr>
        <w:ind w:firstLineChars="0"/>
        <w:rPr>
          <w:rFonts w:hint="eastAsia"/>
        </w:rPr>
      </w:pPr>
      <w:r>
        <w:rPr>
          <w:rFonts w:hint="eastAsia"/>
        </w:rPr>
        <w:t>公司</w:t>
      </w:r>
      <w:r>
        <w:t>破产清算时</w:t>
      </w:r>
      <w:r>
        <w:rPr>
          <w:rFonts w:hint="eastAsia"/>
        </w:rPr>
        <w:t>，</w:t>
      </w:r>
      <w:r>
        <w:t>剩余资产</w:t>
      </w:r>
      <w:r>
        <w:rPr>
          <w:rFonts w:hint="eastAsia"/>
        </w:rPr>
        <w:t>的</w:t>
      </w:r>
      <w:r>
        <w:t>支付顺序</w:t>
      </w:r>
      <w:r>
        <w:rPr>
          <w:rFonts w:hint="eastAsia"/>
        </w:rPr>
        <w:t>;</w:t>
      </w:r>
    </w:p>
    <w:p w:rsidR="00305143" w:rsidRDefault="00305143" w:rsidP="00305143">
      <w:pPr>
        <w:pStyle w:val="a3"/>
        <w:ind w:left="360" w:firstLineChars="0" w:firstLine="0"/>
      </w:pPr>
      <w:r>
        <w:rPr>
          <w:rFonts w:hint="eastAsia"/>
        </w:rPr>
        <w:t>清算</w:t>
      </w:r>
      <w:r>
        <w:t>费用</w:t>
      </w:r>
    </w:p>
    <w:p w:rsidR="00305143" w:rsidRDefault="00305143" w:rsidP="00305143">
      <w:pPr>
        <w:pStyle w:val="a3"/>
        <w:ind w:left="360" w:firstLineChars="0" w:firstLine="0"/>
      </w:pPr>
      <w:r>
        <w:rPr>
          <w:rFonts w:hint="eastAsia"/>
        </w:rPr>
        <w:t>员工</w:t>
      </w:r>
      <w:r>
        <w:t>工资</w:t>
      </w:r>
    </w:p>
    <w:p w:rsidR="00305143" w:rsidRDefault="00305143" w:rsidP="00305143">
      <w:pPr>
        <w:pStyle w:val="a3"/>
        <w:ind w:left="360" w:firstLineChars="0" w:firstLine="0"/>
      </w:pPr>
      <w:r>
        <w:rPr>
          <w:rFonts w:hint="eastAsia"/>
        </w:rPr>
        <w:t>所欠</w:t>
      </w:r>
      <w:r>
        <w:t>税款</w:t>
      </w:r>
    </w:p>
    <w:p w:rsidR="00305143" w:rsidRDefault="00305143" w:rsidP="00305143">
      <w:pPr>
        <w:pStyle w:val="a3"/>
        <w:ind w:left="360" w:firstLineChars="0" w:firstLine="0"/>
      </w:pPr>
      <w:r>
        <w:rPr>
          <w:rFonts w:hint="eastAsia"/>
        </w:rPr>
        <w:t>清偿</w:t>
      </w:r>
      <w:r>
        <w:t>公司债务</w:t>
      </w:r>
    </w:p>
    <w:p w:rsidR="00305143" w:rsidRPr="00305143" w:rsidRDefault="00305143" w:rsidP="00305143">
      <w:pPr>
        <w:pStyle w:val="a3"/>
        <w:ind w:left="360" w:firstLineChars="0" w:firstLine="0"/>
        <w:rPr>
          <w:rFonts w:hint="eastAsia"/>
        </w:rPr>
      </w:pPr>
      <w:r>
        <w:rPr>
          <w:rFonts w:hint="eastAsia"/>
        </w:rPr>
        <w:t>若还有</w:t>
      </w:r>
      <w:r>
        <w:t>剩余资产，按照股东</w:t>
      </w:r>
      <w:r>
        <w:rPr>
          <w:rFonts w:hint="eastAsia"/>
        </w:rPr>
        <w:t>股份</w:t>
      </w:r>
      <w:r>
        <w:t>比例分配给</w:t>
      </w:r>
      <w:r>
        <w:rPr>
          <w:rFonts w:hint="eastAsia"/>
        </w:rPr>
        <w:t>各</w:t>
      </w:r>
      <w:r>
        <w:t>股东</w:t>
      </w:r>
    </w:p>
    <w:p w:rsidR="00305143" w:rsidRDefault="006802D5" w:rsidP="00682636">
      <w:pPr>
        <w:pStyle w:val="a3"/>
        <w:numPr>
          <w:ilvl w:val="0"/>
          <w:numId w:val="1"/>
        </w:numPr>
        <w:ind w:firstLineChars="0"/>
        <w:rPr>
          <w:rFonts w:hint="eastAsia"/>
        </w:rPr>
      </w:pPr>
      <w:r>
        <w:rPr>
          <w:rFonts w:hint="eastAsia"/>
        </w:rPr>
        <w:t>在</w:t>
      </w:r>
      <w:r>
        <w:t>银行间债券市场的</w:t>
      </w:r>
      <w:r w:rsidRPr="006802D5">
        <w:rPr>
          <w:b/>
        </w:rPr>
        <w:t>点击成交</w:t>
      </w:r>
      <w:r>
        <w:rPr>
          <w:rFonts w:hint="eastAsia"/>
        </w:rPr>
        <w:t>交易</w:t>
      </w:r>
      <w:r>
        <w:t>方式下，最低交易量为</w:t>
      </w:r>
      <w:r>
        <w:rPr>
          <w:rFonts w:hint="eastAsia"/>
        </w:rPr>
        <w:t>券面</w:t>
      </w:r>
      <w:r>
        <w:t>总额</w:t>
      </w:r>
      <w:r w:rsidRPr="00D4124A">
        <w:rPr>
          <w:rFonts w:hint="eastAsia"/>
          <w:b/>
        </w:rPr>
        <w:t>10</w:t>
      </w:r>
      <w:r w:rsidR="00D4124A" w:rsidRPr="00D4124A">
        <w:rPr>
          <w:b/>
        </w:rPr>
        <w:t>0</w:t>
      </w:r>
      <w:r>
        <w:rPr>
          <w:rFonts w:hint="eastAsia"/>
        </w:rPr>
        <w:t>W</w:t>
      </w:r>
    </w:p>
    <w:p w:rsidR="006802D5" w:rsidRDefault="006802D5" w:rsidP="00682636">
      <w:pPr>
        <w:pStyle w:val="a3"/>
        <w:numPr>
          <w:ilvl w:val="0"/>
          <w:numId w:val="1"/>
        </w:numPr>
        <w:ind w:firstLineChars="0"/>
      </w:pPr>
      <w:r>
        <w:rPr>
          <w:rFonts w:hint="eastAsia"/>
        </w:rPr>
        <w:t>在</w:t>
      </w:r>
      <w:r>
        <w:t>银行间债券市场的</w:t>
      </w:r>
      <w:r w:rsidRPr="006802D5">
        <w:rPr>
          <w:b/>
        </w:rPr>
        <w:t>点击成交</w:t>
      </w:r>
      <w:r>
        <w:rPr>
          <w:rFonts w:hint="eastAsia"/>
        </w:rPr>
        <w:t>交易</w:t>
      </w:r>
      <w:r>
        <w:t>方式下</w:t>
      </w:r>
      <w:r>
        <w:rPr>
          <w:rFonts w:hint="eastAsia"/>
        </w:rPr>
        <w:t>，</w:t>
      </w:r>
      <w:r>
        <w:t>交易量的最小变动单位为券面总额</w:t>
      </w:r>
      <w:r w:rsidRPr="00D4124A">
        <w:rPr>
          <w:b/>
        </w:rPr>
        <w:t>10</w:t>
      </w:r>
      <w:r>
        <w:t>W</w:t>
      </w:r>
    </w:p>
    <w:p w:rsidR="00FF62A1" w:rsidRDefault="00FF62A1" w:rsidP="00682636">
      <w:pPr>
        <w:pStyle w:val="a3"/>
        <w:numPr>
          <w:ilvl w:val="0"/>
          <w:numId w:val="1"/>
        </w:numPr>
        <w:ind w:firstLineChars="0"/>
      </w:pPr>
      <w:bookmarkStart w:id="0" w:name="_GoBack"/>
      <w:bookmarkEnd w:id="0"/>
    </w:p>
    <w:p w:rsidR="00A16E7C" w:rsidRDefault="00A16E7C" w:rsidP="00A16E7C"/>
    <w:p w:rsidR="00314BBA" w:rsidRDefault="00314BBA"/>
    <w:p w:rsidR="00314BBA" w:rsidRDefault="00314BBA"/>
    <w:p w:rsidR="00314BBA" w:rsidRDefault="00314BBA"/>
    <w:p w:rsidR="00314BBA" w:rsidRDefault="00314BBA"/>
    <w:p w:rsidR="00314BBA" w:rsidRDefault="00314BBA"/>
    <w:p w:rsidR="00314BBA" w:rsidRDefault="00314BBA"/>
    <w:p w:rsidR="00314BBA" w:rsidRDefault="00314BBA"/>
    <w:p w:rsidR="00314BBA" w:rsidRDefault="00314BBA"/>
    <w:sectPr w:rsidR="00314BBA" w:rsidSect="0063208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427" w:rsidRDefault="00DE4427" w:rsidP="007D71EF">
      <w:r>
        <w:separator/>
      </w:r>
    </w:p>
  </w:endnote>
  <w:endnote w:type="continuationSeparator" w:id="0">
    <w:p w:rsidR="00DE4427" w:rsidRDefault="00DE4427" w:rsidP="007D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427" w:rsidRDefault="00DE4427" w:rsidP="007D71EF">
      <w:r>
        <w:separator/>
      </w:r>
    </w:p>
  </w:footnote>
  <w:footnote w:type="continuationSeparator" w:id="0">
    <w:p w:rsidR="00DE4427" w:rsidRDefault="00DE4427" w:rsidP="007D71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270655"/>
    <w:multiLevelType w:val="hybridMultilevel"/>
    <w:tmpl w:val="6D363836"/>
    <w:lvl w:ilvl="0" w:tplc="17186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8A"/>
    <w:rsid w:val="000417BD"/>
    <w:rsid w:val="0005124A"/>
    <w:rsid w:val="00051B15"/>
    <w:rsid w:val="000546E8"/>
    <w:rsid w:val="00055531"/>
    <w:rsid w:val="0007159C"/>
    <w:rsid w:val="00087D14"/>
    <w:rsid w:val="0009254E"/>
    <w:rsid w:val="000B612F"/>
    <w:rsid w:val="000D485E"/>
    <w:rsid w:val="000D6135"/>
    <w:rsid w:val="00103FF6"/>
    <w:rsid w:val="001362F2"/>
    <w:rsid w:val="00142BF6"/>
    <w:rsid w:val="0016735E"/>
    <w:rsid w:val="001823DA"/>
    <w:rsid w:val="00191B70"/>
    <w:rsid w:val="001A0782"/>
    <w:rsid w:val="001B2343"/>
    <w:rsid w:val="001C3011"/>
    <w:rsid w:val="001C759D"/>
    <w:rsid w:val="001D1396"/>
    <w:rsid w:val="001D6C5A"/>
    <w:rsid w:val="001E47F4"/>
    <w:rsid w:val="00206209"/>
    <w:rsid w:val="00214D41"/>
    <w:rsid w:val="00227A02"/>
    <w:rsid w:val="002505C9"/>
    <w:rsid w:val="002545F1"/>
    <w:rsid w:val="002824CC"/>
    <w:rsid w:val="002A1EFC"/>
    <w:rsid w:val="002F1B6B"/>
    <w:rsid w:val="00305143"/>
    <w:rsid w:val="00312ED8"/>
    <w:rsid w:val="00314BBA"/>
    <w:rsid w:val="00327AB8"/>
    <w:rsid w:val="00346B29"/>
    <w:rsid w:val="003740D3"/>
    <w:rsid w:val="00376E05"/>
    <w:rsid w:val="003A6240"/>
    <w:rsid w:val="003C2F86"/>
    <w:rsid w:val="003D1B86"/>
    <w:rsid w:val="00435A4C"/>
    <w:rsid w:val="0049023B"/>
    <w:rsid w:val="004A49E6"/>
    <w:rsid w:val="004B2A15"/>
    <w:rsid w:val="004F1786"/>
    <w:rsid w:val="00503B6E"/>
    <w:rsid w:val="00515CB7"/>
    <w:rsid w:val="00523ADC"/>
    <w:rsid w:val="00544566"/>
    <w:rsid w:val="005709CB"/>
    <w:rsid w:val="00577B9F"/>
    <w:rsid w:val="005A45B3"/>
    <w:rsid w:val="005A67CF"/>
    <w:rsid w:val="005D263A"/>
    <w:rsid w:val="005D5371"/>
    <w:rsid w:val="00602C05"/>
    <w:rsid w:val="0062171C"/>
    <w:rsid w:val="00622C70"/>
    <w:rsid w:val="0063208B"/>
    <w:rsid w:val="00641E1C"/>
    <w:rsid w:val="006802D5"/>
    <w:rsid w:val="00682636"/>
    <w:rsid w:val="006A3ACA"/>
    <w:rsid w:val="006B1A02"/>
    <w:rsid w:val="006B6134"/>
    <w:rsid w:val="006D2B96"/>
    <w:rsid w:val="00707346"/>
    <w:rsid w:val="00754E87"/>
    <w:rsid w:val="007D71EF"/>
    <w:rsid w:val="00807E7A"/>
    <w:rsid w:val="00827138"/>
    <w:rsid w:val="00827A93"/>
    <w:rsid w:val="00853D45"/>
    <w:rsid w:val="0086433F"/>
    <w:rsid w:val="00866F42"/>
    <w:rsid w:val="008B0E0C"/>
    <w:rsid w:val="009445C6"/>
    <w:rsid w:val="009608BD"/>
    <w:rsid w:val="00963EFE"/>
    <w:rsid w:val="00973109"/>
    <w:rsid w:val="00982F7C"/>
    <w:rsid w:val="00985075"/>
    <w:rsid w:val="00986BE1"/>
    <w:rsid w:val="00990AE5"/>
    <w:rsid w:val="009E7D9C"/>
    <w:rsid w:val="00A1643F"/>
    <w:rsid w:val="00A16E7C"/>
    <w:rsid w:val="00A239C7"/>
    <w:rsid w:val="00A677B4"/>
    <w:rsid w:val="00A80369"/>
    <w:rsid w:val="00A81EAC"/>
    <w:rsid w:val="00AA3A70"/>
    <w:rsid w:val="00AC79FF"/>
    <w:rsid w:val="00B06C32"/>
    <w:rsid w:val="00B154C4"/>
    <w:rsid w:val="00B3048C"/>
    <w:rsid w:val="00B30741"/>
    <w:rsid w:val="00B425DD"/>
    <w:rsid w:val="00B60B43"/>
    <w:rsid w:val="00B74FFA"/>
    <w:rsid w:val="00BB2EEF"/>
    <w:rsid w:val="00BF1B2B"/>
    <w:rsid w:val="00C11BFA"/>
    <w:rsid w:val="00C134B2"/>
    <w:rsid w:val="00C24BCE"/>
    <w:rsid w:val="00C748C9"/>
    <w:rsid w:val="00D036A1"/>
    <w:rsid w:val="00D3577A"/>
    <w:rsid w:val="00D4124A"/>
    <w:rsid w:val="00DE4427"/>
    <w:rsid w:val="00E0722A"/>
    <w:rsid w:val="00E16118"/>
    <w:rsid w:val="00E47472"/>
    <w:rsid w:val="00E532FB"/>
    <w:rsid w:val="00E80A31"/>
    <w:rsid w:val="00F20FD1"/>
    <w:rsid w:val="00F438AF"/>
    <w:rsid w:val="00F44C8A"/>
    <w:rsid w:val="00F55C0A"/>
    <w:rsid w:val="00F825C4"/>
    <w:rsid w:val="00F9304D"/>
    <w:rsid w:val="00F9733B"/>
    <w:rsid w:val="00FF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CD13F7-F5DF-4CF5-B7B1-08CF6148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C70"/>
    <w:pPr>
      <w:ind w:firstLineChars="200" w:firstLine="420"/>
    </w:pPr>
  </w:style>
  <w:style w:type="paragraph" w:styleId="a4">
    <w:name w:val="header"/>
    <w:basedOn w:val="a"/>
    <w:link w:val="Char"/>
    <w:uiPriority w:val="99"/>
    <w:unhideWhenUsed/>
    <w:rsid w:val="007D71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71EF"/>
    <w:rPr>
      <w:sz w:val="18"/>
      <w:szCs w:val="18"/>
    </w:rPr>
  </w:style>
  <w:style w:type="paragraph" w:styleId="a5">
    <w:name w:val="footer"/>
    <w:basedOn w:val="a"/>
    <w:link w:val="Char0"/>
    <w:uiPriority w:val="99"/>
    <w:unhideWhenUsed/>
    <w:rsid w:val="007D71EF"/>
    <w:pPr>
      <w:tabs>
        <w:tab w:val="center" w:pos="4153"/>
        <w:tab w:val="right" w:pos="8306"/>
      </w:tabs>
      <w:snapToGrid w:val="0"/>
      <w:jc w:val="left"/>
    </w:pPr>
    <w:rPr>
      <w:sz w:val="18"/>
      <w:szCs w:val="18"/>
    </w:rPr>
  </w:style>
  <w:style w:type="character" w:customStyle="1" w:styleId="Char0">
    <w:name w:val="页脚 Char"/>
    <w:basedOn w:val="a0"/>
    <w:link w:val="a5"/>
    <w:uiPriority w:val="99"/>
    <w:rsid w:val="007D71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4FFC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232</Words>
  <Characters>1323</Characters>
  <Application>Microsoft Office Word</Application>
  <DocSecurity>0</DocSecurity>
  <Lines>11</Lines>
  <Paragraphs>3</Paragraphs>
  <ScaleCrop>false</ScaleCrop>
  <Company>Microsoft</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215</cp:revision>
  <dcterms:created xsi:type="dcterms:W3CDTF">2017-10-29T23:38:00Z</dcterms:created>
  <dcterms:modified xsi:type="dcterms:W3CDTF">2017-11-01T01:38:00Z</dcterms:modified>
</cp:coreProperties>
</file>