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產出日期：2026-04-29</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產品管理</w:t>
            </w:r>
          </w:p>
        </w:tc>
        <w:tc>
          <w:tcPr>
            <w:tcW w:type="dxa" w:w="6480"/>
          </w:tcPr>
          <w:p>
            <w:r>
              <w:rPr>
                <w:rFonts w:ascii="Microsoft JhengHei" w:hAnsi="Microsoft JhengHei" w:eastAsia="Microsoft JhengHei"/>
                <w:sz w:val="20"/>
              </w:rPr>
              <w:t>產品頁面（模板）、價格表（SKU 世代）、價目版本、分期規則模板、費用類型、規則掛接</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產品管理（DMS Product）</w:t>
      </w:r>
    </w:p>
    <w:p>
      <w:pPr>
        <w:spacing w:after="80"/>
      </w:pPr>
      <w:r>
        <w:rPr>
          <w:rFonts w:ascii="Microsoft JhengHei" w:hAnsi="Microsoft JhengHei" w:eastAsia="Microsoft JhengHei"/>
          <w:sz w:val="22"/>
        </w:rPr>
        <w:t>產品管理模組是 015 重建後的独立模組，包含「產品頁面（模板）」、「車型價格表」、「價目版本」、「分期規則模板」、「費用類型」、「規則掛接」等選單。車銷與佣金依賴本模組提供的主檔與價格資料。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產品模板主檔，以「品牌 + 機種 + 型號」為主鍵建立。表單下頁簽提供「產品項」可見下屬車色 / SKU、「價格」可見各價目版本中本模板的牌價 / 現金價 / 分期價。tree 中最左側提供「開啟詳細資料」外部連結按鈕，使用者可在不離開清單的情況下，横向捲動快速讀完 inline 資料後選擇「進入 form 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產品頁面」；清單可快速以品牌、機種、型號 查詢。</w:t>
      </w:r>
    </w:p>
    <w:p>
      <w:pPr>
        <w:spacing w:after="80"/>
        <w:ind w:left="288"/>
      </w:pPr>
      <w:r>
        <w:rPr>
          <w:rFonts w:ascii="Microsoft JhengHei" w:hAnsi="Microsoft JhengHei" w:eastAsia="Microsoft JhengHei"/>
          <w:sz w:val="22"/>
        </w:rPr>
        <w:t>2. 點「建立」建立新模板：填入「品牌 / 機種 / 型號 / OEM 編號」等主檔。</w:t>
      </w:r>
    </w:p>
    <w:p>
      <w:pPr>
        <w:spacing w:after="80"/>
        <w:ind w:left="288"/>
      </w:pPr>
      <w:r>
        <w:rPr>
          <w:rFonts w:ascii="Microsoft JhengHei" w:hAnsi="Microsoft JhengHei" w:eastAsia="Microsoft JhengHei"/>
          <w:sz w:val="22"/>
        </w:rPr>
        <w:t>3. 「上傳主圖」：點推薦圖上傳車型主圖；「車色」頁簽可透過「維護車色」彈窗設定品牌可供選車色與代碼。</w:t>
      </w:r>
    </w:p>
    <w:p>
      <w:pPr>
        <w:spacing w:after="80"/>
        <w:ind w:left="288"/>
      </w:pPr>
      <w:r>
        <w:rPr>
          <w:rFonts w:ascii="Microsoft JhengHei" w:hAnsi="Microsoft JhengHei" w:eastAsia="Microsoft JhengHei"/>
          <w:sz w:val="22"/>
        </w:rPr>
        <w:t>4. 「產品項」頁簽以「以車色為基準重建」按鈕，可依品牌車色表一鍵产生 SKU。</w:t>
      </w:r>
    </w:p>
    <w:p>
      <w:pPr>
        <w:spacing w:before="160" w:after="120"/>
      </w:pPr>
      <w:r>
        <w:rPr>
          <w:rFonts w:ascii="Microsoft JhengHei" w:hAnsi="Microsoft JhengHei" w:eastAsia="Microsoft JhengHei"/>
          <w:b/>
          <w:color w:val="1F3A68"/>
          <w:sz w:val="26"/>
        </w:rPr>
        <w:t>畫面截圖</w:t>
      </w:r>
    </w:p>
    <w:p>
      <w:pPr>
        <w:spacing w:before="160" w:after="120"/>
      </w:pPr>
      <w:r>
        <w:rPr>
          <w:rFonts w:ascii="Microsoft JhengHei" w:hAnsi="Microsoft JhengHei" w:eastAsia="Microsoft JhengHei"/>
          <w:b/>
          <w:color w:val="1F3A68"/>
          <w:sz w:val="30"/>
        </w:rPr>
        <w:t>3.2 車型價格表（價目版本）</w:t>
      </w:r>
    </w:p>
    <w:p>
      <w:pPr>
        <w:spacing w:after="80"/>
      </w:pPr>
      <w:r>
        <w:rPr>
          <w:rFonts w:ascii="Microsoft JhengHei" w:hAnsi="Microsoft JhengHei" w:eastAsia="Microsoft JhengHei"/>
          <w:color w:val="555555"/>
          <w:sz w:val="22"/>
        </w:rPr>
        <w:t>以「價目版本」管理各車型的牌價、現金價與各期分期價；版本含生效日與狀態（草稿 / 生效 / 封存）。項目順序以 Phase 10 調整為：「機種」欄 sticky 凍結、標題列凍結；表格改為不換行、以橫向捲動避免揚壓；標題字體 12px；顧客贈品 / 附加費用說明 / 車色以「pre-line」完整換行顯示，不被裁切。</w:t>
        <w:br/>
        <w:br/>
        <w:t>每一列最左側提供「開啟詳細資料」外部連結按鈕，點選可跳到單筆產品的 form 畫面進行詳細編輯；inline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詳細修改：點資料列最左侧的外部連結 icon 進入 form 畫面，適合大量欄位同時調整。</w:t>
      </w:r>
    </w:p>
    <w:p>
      <w:pPr>
        <w:spacing w:after="80"/>
        <w:ind w:left="288"/>
      </w:pPr>
      <w:r>
        <w:rPr>
          <w:rFonts w:ascii="Microsoft JhengHei" w:hAnsi="Microsoft JhengHei" w:eastAsia="Microsoft JhengHei"/>
          <w:sz w:val="22"/>
        </w:rPr>
        <w:t>4. 新增產品：請到「產品管理 → 產品頁面」建立模板後，於模板下頁簽「產品項」以「從此複製」或「新增」手動加入。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圖：車型價格表（sticky 機種欄，右上「開啟詳細資料」按鈕）</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價目版本與複製</w:t>
      </w:r>
    </w:p>
    <w:p>
      <w:pPr>
        <w:spacing w:after="80"/>
      </w:pPr>
      <w:r>
        <w:rPr>
          <w:rFonts w:ascii="Microsoft JhengHei" w:hAnsi="Microsoft JhengHei" w:eastAsia="Microsoft JhengHei"/>
          <w:color w:val="555555"/>
          <w:sz w:val="22"/>
        </w:rPr>
        <w:t>「價目版本」為價格表的現行生效集；可「由舊版複製」同步全部產品項后独立調整，未生效前主檔不受影響。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進入「產品管理 → 價目版本」點「建立」；選「源頭版本」可複製之前版本。</w:t>
      </w:r>
    </w:p>
    <w:p>
      <w:pPr>
        <w:spacing w:after="80"/>
        <w:ind w:left="288"/>
      </w:pPr>
      <w:r>
        <w:rPr>
          <w:rFonts w:ascii="Microsoft JhengHei" w:hAnsi="Microsoft JhengHei" w:eastAsia="Microsoft JhengHei"/>
          <w:sz w:val="22"/>
        </w:rPr>
        <w:t>2. 「生效」後原版本自動為「封存」，價格表與車銷單據都將讀取新生效版本。</w:t>
      </w:r>
    </w:p>
    <w:p>
      <w:pPr>
        <w:spacing w:before="160" w:after="120"/>
      </w:pPr>
      <w:r>
        <w:rPr>
          <w:rFonts w:ascii="Microsoft JhengHei" w:hAnsi="Microsoft JhengHei" w:eastAsia="Microsoft JhengHei"/>
          <w:b/>
          <w:color w:val="1F3A68"/>
          <w:sz w:val="26"/>
        </w:rPr>
        <w:t>畫面截圖</w:t>
      </w:r>
    </w:p>
    <w:p>
      <w:pPr>
        <w:spacing w:before="160" w:after="120"/>
      </w:pPr>
      <w:r>
        <w:rPr>
          <w:rFonts w:ascii="Microsoft JhengHei" w:hAnsi="Microsoft JhengHei" w:eastAsia="Microsoft JhengHei"/>
          <w:b/>
          <w:color w:val="1F3A68"/>
          <w:sz w:val="30"/>
        </w:rPr>
        <w:t>3.4 分期規則模板 / 費用類型 / 規則掛接</w:t>
      </w:r>
    </w:p>
    <w:p>
      <w:pPr>
        <w:spacing w:after="80"/>
      </w:pPr>
      <w:r>
        <w:rPr>
          <w:rFonts w:ascii="Microsoft JhengHei" w:hAnsi="Microsoft JhengHei" w:eastAsia="Microsoft JhengHei"/>
          <w:color w:val="555555"/>
          <w:sz w:val="22"/>
        </w:rPr>
        <w:t>「分期規則模板」設定期數、首期月份、利率、最低順期。「費用類型」為車銷單可選的附加費用項目（如委託費、保険、職業謝金）主檔。「規則掛接」負責將費用類型與分期規則模板串接到某個價目版本，並可設定「只適用某些品牌 / 車型」。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「產品管理 → 分期規則模板」建立模板。</w:t>
      </w:r>
    </w:p>
    <w:p>
      <w:pPr>
        <w:spacing w:after="80"/>
        <w:ind w:left="288"/>
      </w:pPr>
      <w:r>
        <w:rPr>
          <w:rFonts w:ascii="Microsoft JhengHei" w:hAnsi="Microsoft JhengHei" w:eastAsia="Microsoft JhengHei"/>
          <w:sz w:val="22"/>
        </w:rPr>
        <w:t>2. 「產品管理 → 費用類型」建立代碼與預設金額。</w:t>
      </w:r>
    </w:p>
    <w:p>
      <w:pPr>
        <w:spacing w:after="80"/>
        <w:ind w:left="288"/>
      </w:pPr>
      <w:r>
        <w:rPr>
          <w:rFonts w:ascii="Microsoft JhengHei" w:hAnsi="Microsoft JhengHei" w:eastAsia="Microsoft JhengHei"/>
          <w:sz w:val="22"/>
        </w:rPr>
        <w:t>3. 「產品管理 → 規則掛接」選產品項 + 費用類型 + 分期規則模板複選掛接。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6_installment_rule.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圖：分期規則模板清單</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7_fee_type.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圖：費用類型清單</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8_rule_binding.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圖：規則掛接清單</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車銷管理涵蓋車輛銷售單據、Excel 匯入與同步紀錄，是業績與佣金的計算來源。價格表與價目版本請見「3. 產品管理」。</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2_sale_list.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22_sale_form.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24_sync_log.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24_sync_log_form.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 form 畫面（含「重新同步」按鈕）</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25_excel_import.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metabase_home.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metabase_dashboards.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metabase_p1_total_sales.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metabase_p3_ev_sales.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metabase_p9_fuel_sales.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metabase_p11_dealer_sales.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41_cm_product_rule.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41_cm_product_rule_form.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2_cm_dealer_rule.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3_cm_vehicle_rule.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4_cm_volume_rule.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5_cm_volume_gift.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6_incentive_type.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7_incentive_rule.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8_cm_record.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8_cm_record_form.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49_incentive_delivery.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49_incentive_delivery_form.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4a_cm_monthly.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4b_cm_summary.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51_part_list.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51_part_form.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2_part_category.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53_catalog_list.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53_catalog_form.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54_catalog_search_wizard.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55_catalog_import_wizard.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3" name="Picture 53"/>
            <wp:cNvGraphicFramePr>
              <a:graphicFrameLocks noChangeAspect="1"/>
            </wp:cNvGraphicFramePr>
            <a:graphic>
              <a:graphicData uri="http://schemas.openxmlformats.org/drawingml/2006/picture">
                <pic:pic>
                  <pic:nvPicPr>
                    <pic:cNvPr id="0" name="61_access_group_list.png"/>
                    <pic:cNvPicPr/>
                  </pic:nvPicPr>
                  <pic:blipFill>
                    <a:blip r:embed="rId6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4" name="Picture 54"/>
            <wp:cNvGraphicFramePr>
              <a:graphicFrameLocks noChangeAspect="1"/>
            </wp:cNvGraphicFramePr>
            <a:graphic>
              <a:graphicData uri="http://schemas.openxmlformats.org/drawingml/2006/picture">
                <pic:pic>
                  <pic:nvPicPr>
                    <pic:cNvPr id="0" name="61_access_group_form.png"/>
                    <pic:cNvPicPr/>
                  </pic:nvPicPr>
                  <pic:blipFill>
                    <a:blip r:embed="rId6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5" name="Picture 55"/>
            <wp:cNvGraphicFramePr>
              <a:graphicFrameLocks noChangeAspect="1"/>
            </wp:cNvGraphicFramePr>
            <a:graphic>
              <a:graphicData uri="http://schemas.openxmlformats.org/drawingml/2006/picture">
                <pic:pic>
                  <pic:nvPicPr>
                    <pic:cNvPr id="0" name="62_audit_log_list.png"/>
                    <pic:cNvPicPr/>
                  </pic:nvPicPr>
                  <pic:blipFill>
                    <a:blip r:embed="rId6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6" name="Picture 56"/>
            <wp:cNvGraphicFramePr>
              <a:graphicFrameLocks noChangeAspect="1"/>
            </wp:cNvGraphicFramePr>
            <a:graphic>
              <a:graphicData uri="http://schemas.openxmlformats.org/drawingml/2006/picture">
                <pic:pic>
                  <pic:nvPicPr>
                    <pic:cNvPr id="0" name="62_audit_log_form.png"/>
                    <pic:cNvPicPr/>
                  </pic:nvPicPr>
                  <pic:blipFill>
                    <a:blip r:embed="rId6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