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24"/>
          <w:szCs w:val="24"/>
        </w:rPr>
        <w:t xml:space="preserve">INDIVIDUAL CONTRIBUTION REPORT</w:t>
      </w:r>
    </w:p>
    <w:p>
      <w:pPr>
        <w:spacing w:after="140"/>
        <w:jc w:val="center"/>
      </w:pPr>
      <w:r>
        <w:rPr>
          <w:color w:val="595959"/>
          <w:sz w:val="16"/>
          <w:szCs w:val="16"/>
        </w:rPr>
        <w:t xml:space="preserve">AudioLIT — Multimodal Explainable-AI Workbench for Speech Recognition, Emotion Analytics and Deepfake Detection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Name: </w:t>
      </w:r>
      <w:r>
        <w:rPr>
          <w:color w:val="000000"/>
          <w:sz w:val="18"/>
          <w:szCs w:val="18"/>
        </w:rPr>
        <w:t xml:space="preserve">Perera D.I.R.T.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Student ID: </w:t>
      </w:r>
      <w:r>
        <w:rPr>
          <w:color w:val="000000"/>
          <w:sz w:val="18"/>
          <w:szCs w:val="18"/>
        </w:rPr>
        <w:t xml:space="preserve">230475N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Group: </w:t>
      </w:r>
      <w:r>
        <w:rPr>
          <w:color w:val="000000"/>
          <w:sz w:val="18"/>
          <w:szCs w:val="18"/>
        </w:rPr>
        <w:t xml:space="preserve">Group 19 — Project P01</w:t>
      </w:r>
    </w:p>
    <w:p>
      <w:pPr>
        <w:pBdr>
          <w:bottom w:val="single" w:color="000000" w:sz="6"/>
        </w:pBdr>
        <w:spacing w:after="120" w:before="120"/>
      </w:pP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256"/>
      </w:tblGrid>
      <w:tr>
        <w:trPr>
          <w:tblHeader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bottom w:type="dxa" w:w="6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Authored the Software Requirements Specification: functional requirements, non-functional performance targets, and the boundary separating inherited baseline behaviour from new 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the technical feasibility study, resource matrix, and the initial proposal and scope definition.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Recreated the architecture and sequence diagrams as version-controlled sources; wrote the README and local execution guide.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Established the repository structure, branch protection, and the continuous-integration pipeline for backend and frontend.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Set up issue-tracker automation and produced the dependency-ordered plan used to sequence the build.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the team workflow and review checklist; prepared and ran the third mentor meetup.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Architecture &amp; Migration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Restructured the inherited codebase into the layered package design, decoupling routes from domain logic.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Standardised all audio input/output on a single dependency, removing a redundant library.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Prototyped fan-out / fan-in task orchestration, then merged two duplicated orchestrators into one queue fabric.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Model Registry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dynamic model registry: identifier resolution, mandatory safetensors enforcement before deserialisation, revision pinning, a bounded cache, and a circuit breaker for hub failures.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forward and attention hook registration for the supported model families.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Emotion &amp; Deepfake Models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Integrated the speech emotion recognition model, and evaluated and selected its default checkpoint, resolving an open decision in the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binary deepfake probability head and the forensic feature-map route.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Explainability &amp; Faithfulness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attribution faithfulness routines, high-saliency masking engine, degradation scoring pipeline, and the deletion/insertion AUC metric.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Replaced the inherited silent synthetic-attention fallback with a shared provenance contract, so a synthesised stand-in is tagged rather than presented as model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Wired the genuine Grad-CAM into the saliency endpoint and corrected the inherited mislabelling of Integrated Gradients; built the latent-projection lasso selection.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Caching, Performance &amp; Testing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dataset warm-up engine with time estimation, cancellation and per-item memory cleanup.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Defined every cache key family and payload shape in one place, and added content-addressed hashing so cache identity follows the audio rather than the file path.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the backend boundary test suite, remediated dataset path-traversal gaps, and maintained pipeline health.</w:t>
            </w:r>
          </w:p>
        </w:tc>
      </w:tr>
    </w:tbl>
    <w:p>
      <w:pPr>
        <w:spacing w:after="80" w:before="200"/>
      </w:pPr>
      <w:r>
        <w:rPr>
          <w:b/>
          <w:bCs/>
          <w:color w:val="000000"/>
          <w:sz w:val="19"/>
          <w:szCs w:val="19"/>
        </w:rPr>
        <w:t xml:space="preserve">Challenges &amp; Solutions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b/>
          <w:bCs/>
          <w:color w:val="000000"/>
          <w:sz w:val="18"/>
          <w:szCs w:val="18"/>
        </w:rPr>
        <w:t xml:space="preserve">Warmed dataset results were unreadable by the interface. </w:t>
      </w:r>
      <w:r>
        <w:rPr>
          <w:color w:val="000000"/>
          <w:sz w:val="18"/>
          <w:szCs w:val="18"/>
        </w:rPr>
        <w:t xml:space="preserve">The warm-up wrote one payload shape into two cache families expecting different shapes, so a cache hit failed the request instead of recomputing. Separated the contracts and defined each key family once.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b/>
          <w:bCs/>
          <w:color w:val="000000"/>
          <w:sz w:val="18"/>
          <w:szCs w:val="18"/>
        </w:rPr>
        <w:t xml:space="preserve">Custom models returned the default model's output. </w:t>
      </w:r>
      <w:r>
        <w:rPr>
          <w:color w:val="000000"/>
          <w:sz w:val="18"/>
          <w:szCs w:val="18"/>
        </w:rPr>
        <w:t xml:space="preserve">Loaders hardcoded a checkpoint while caching under the requested model's name. Bound the selected model through every loader and made cache keys model-specific.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b/>
          <w:bCs/>
          <w:color w:val="000000"/>
          <w:sz w:val="18"/>
          <w:szCs w:val="18"/>
        </w:rPr>
        <w:t xml:space="preserve">Fabricated data was presented as genuine model output. </w:t>
      </w:r>
      <w:r>
        <w:rPr>
          <w:color w:val="000000"/>
          <w:sz w:val="18"/>
          <w:szCs w:val="18"/>
        </w:rPr>
        <w:t xml:space="preserve">Affected attention, saliency and the latent projection. Added the provenance contract, removed random-data fallbacks, and stopped the auditor scoring anything unmeasured.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b/>
          <w:bCs/>
          <w:color w:val="000000"/>
          <w:sz w:val="18"/>
          <w:szCs w:val="18"/>
        </w:rPr>
        <w:t xml:space="preserve">Two independently-passing changes broke the build together. </w:t>
      </w:r>
      <w:r>
        <w:rPr>
          <w:color w:val="000000"/>
          <w:sz w:val="18"/>
          <w:szCs w:val="18"/>
        </w:rPr>
        <w:t xml:space="preserve">Added a rebase-and-re-verify step and a mechanical check that fails when a change deletes something still referenced.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color w:val="000000"/>
          <w:sz w:val="24"/>
          <w:szCs w:val="24"/>
        </w:rPr>
        <w:t xml:space="preserve">INDIVIDUAL CONTRIBUTION REPORT</w:t>
      </w:r>
    </w:p>
    <w:p>
      <w:pPr>
        <w:spacing w:after="140"/>
        <w:jc w:val="center"/>
      </w:pPr>
      <w:r>
        <w:rPr>
          <w:color w:val="595959"/>
          <w:sz w:val="16"/>
          <w:szCs w:val="16"/>
        </w:rPr>
        <w:t xml:space="preserve">AudioLIT — Multimodal Explainable-AI Workbench for Speech Recognition, Emotion Analytics and Deepfake Detection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Name: </w:t>
      </w:r>
      <w:r>
        <w:rPr>
          <w:color w:val="000000"/>
          <w:sz w:val="18"/>
          <w:szCs w:val="18"/>
        </w:rPr>
        <w:t xml:space="preserve">Pathirana K.P.R.J.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Student ID: </w:t>
      </w:r>
      <w:r>
        <w:rPr>
          <w:color w:val="000000"/>
          <w:sz w:val="18"/>
          <w:szCs w:val="18"/>
        </w:rPr>
        <w:t xml:space="preserve">230467R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Group: </w:t>
      </w:r>
      <w:r>
        <w:rPr>
          <w:color w:val="000000"/>
          <w:sz w:val="18"/>
          <w:szCs w:val="18"/>
        </w:rPr>
        <w:t xml:space="preserve">Group 19 — Project P01</w:t>
      </w:r>
    </w:p>
    <w:p>
      <w:pPr>
        <w:pBdr>
          <w:bottom w:val="single" w:color="000000" w:sz="6"/>
        </w:pBdr>
        <w:spacing w:after="120" w:before="120"/>
      </w:pP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256"/>
      </w:tblGrid>
      <w:tr>
        <w:trPr>
          <w:tblHeader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bottom w:type="dxa" w:w="6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Drafted the functional requirements for the multi-task explainability overlays and canvas-driven audio mutation.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Produced the dataset-management compliance audit and kept the issue plan current after each round of merges.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Dataset Ingestion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multi-task ingestion core: one streaming loader interface across the speech, emotion and deepfake corpora.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the loaders completing the seven-corpus registry, adding integrity validation, a bounded working footprint, and licence surfacing for non-commercial corpora.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ground-truth upload with order-independent filename matching, and wired the real registry into the live routes.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Acoustic Profiling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probabilistic fundamental-frequency tracker, marking unvoiced frames rather than interpolating through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RMS energy estimation and the amplitude contour, assembling both into the signal-processing profile pipeline.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Canvas &amp; Visualisation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Developed the canvas waveform visualisation suite and the downsampled buffer rendering mathematics.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spectrogram grid selector and the resolver converting pixel selections into time and frequency units, so the backend never receives pixels.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drag and bounding-box tracker and the alpha-blended heatmap overlay layer.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Explainability &amp; Bias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Grad-CAM attribution utility and the Integrated Gradients core, and adapted LIME and SHAP to operate on two-dimensional spectrogram patches.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accent-bias cohort batching and the group-wise error-rate runner that ranks cohorts into a disparity report.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Frontend Architecture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Led the interface redesign: navigation, sidebar, workspace grid, explainability panels, status bar and dark mode.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task selector for the three model families and the custom model interface.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Consolidated the inference pipeline onto the asynchronous multi-task job, and added per-row regeneration with cache bypass.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Testing &amp; CI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the automated backend suites, interface component boundary tests, and wired up the frontend test runner.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Added route tests that surfaced a genuine routing defect, plus end-to-end tests covering the demo paths.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Sped up the pipeline by caching dependency downloads and using the processor-only framework build.</w:t>
            </w:r>
          </w:p>
        </w:tc>
      </w:tr>
    </w:tbl>
    <w:p>
      <w:pPr>
        <w:spacing w:after="80" w:before="200"/>
      </w:pPr>
      <w:r>
        <w:rPr>
          <w:b/>
          <w:bCs/>
          <w:color w:val="000000"/>
          <w:sz w:val="19"/>
          <w:szCs w:val="19"/>
        </w:rPr>
        <w:t xml:space="preserve">Challenges &amp; Solutions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b/>
          <w:bCs/>
          <w:color w:val="000000"/>
          <w:sz w:val="18"/>
          <w:szCs w:val="18"/>
        </w:rPr>
        <w:t xml:space="preserve">The pipeline hung intermittently on the orchestration tests. </w:t>
      </w:r>
      <w:r>
        <w:rPr>
          <w:color w:val="000000"/>
          <w:sz w:val="18"/>
          <w:szCs w:val="18"/>
        </w:rPr>
        <w:t xml:space="preserve">Traced to non-deterministic worker ordering in the fan-out / fan-in path; the tests were rewritten to be deterministic.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b/>
          <w:bCs/>
          <w:color w:val="000000"/>
          <w:sz w:val="18"/>
          <w:szCs w:val="18"/>
        </w:rPr>
        <w:t xml:space="preserve">Builds were slow and heavy. </w:t>
      </w:r>
      <w:r>
        <w:rPr>
          <w:color w:val="000000"/>
          <w:sz w:val="18"/>
          <w:szCs w:val="18"/>
        </w:rPr>
        <w:t xml:space="preserve">The pipeline pulled multi-gigabyte accelerator packages onto processor-only runners. Fixed by caching downloads and pinning the lighter build.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b/>
          <w:bCs/>
          <w:color w:val="000000"/>
          <w:sz w:val="18"/>
          <w:szCs w:val="18"/>
        </w:rPr>
        <w:t xml:space="preserve">The dataset registry was not connected to the routes the interface called. </w:t>
      </w:r>
      <w:r>
        <w:rPr>
          <w:color w:val="000000"/>
          <w:sz w:val="18"/>
          <w:szCs w:val="18"/>
        </w:rPr>
        <w:t xml:space="preserve">New corpora never appeared in the application. Fixed by wiring the registry through to the live routes.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b/>
          <w:bCs/>
          <w:color w:val="000000"/>
          <w:sz w:val="18"/>
          <w:szCs w:val="18"/>
        </w:rPr>
        <w:t xml:space="preserve">Pixel-to-signal conversion had to hold across zoom levels and sample rates. </w:t>
      </w:r>
      <w:r>
        <w:rPr>
          <w:color w:val="000000"/>
          <w:sz w:val="18"/>
          <w:szCs w:val="18"/>
        </w:rPr>
        <w:t xml:space="preserve">Derived the frequency-scale mapping in both directions so canvas selections round-trip exactly.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color w:val="000000"/>
          <w:sz w:val="24"/>
          <w:szCs w:val="24"/>
        </w:rPr>
        <w:t xml:space="preserve">INDIVIDUAL CONTRIBUTION REPORT</w:t>
      </w:r>
    </w:p>
    <w:p>
      <w:pPr>
        <w:spacing w:after="140"/>
        <w:jc w:val="center"/>
      </w:pPr>
      <w:r>
        <w:rPr>
          <w:color w:val="595959"/>
          <w:sz w:val="16"/>
          <w:szCs w:val="16"/>
        </w:rPr>
        <w:t xml:space="preserve">AudioLIT — Multimodal Explainable-AI Workbench for Speech Recognition, Emotion Analytics and Deepfake Detection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Name: </w:t>
      </w:r>
      <w:r>
        <w:rPr>
          <w:color w:val="000000"/>
          <w:sz w:val="18"/>
          <w:szCs w:val="18"/>
        </w:rPr>
        <w:t xml:space="preserve">Rahim M.I.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Student ID: </w:t>
      </w:r>
      <w:r>
        <w:rPr>
          <w:color w:val="000000"/>
          <w:sz w:val="18"/>
          <w:szCs w:val="18"/>
        </w:rPr>
        <w:t xml:space="preserve">230506M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Group: </w:t>
      </w:r>
      <w:r>
        <w:rPr>
          <w:color w:val="000000"/>
          <w:sz w:val="18"/>
          <w:szCs w:val="18"/>
        </w:rPr>
        <w:t xml:space="preserve">Group 19 — Project P01</w:t>
      </w:r>
    </w:p>
    <w:p>
      <w:pPr>
        <w:pBdr>
          <w:bottom w:val="single" w:color="000000" w:sz="6"/>
        </w:pBdr>
        <w:spacing w:after="120" w:before="120"/>
      </w:pP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256"/>
      </w:tblGrid>
      <w:tr>
        <w:trPr>
          <w:tblHeader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0"/>
              <w:bottom w:type="dxa" w:w="6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Defined the core system baseline architecture and the infrastructure sizing matrix.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Modelled the global component topology, the asynchronous system architecture, and the task lifecycles and worker broker mappings.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Produced the network-latency profiling, deployment-constraint analysis, and the tensor storage and computational sizing study.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Backend Foundation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Scaffolded the asynchronous API server, application initialisation and cross-origin middleware.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multi-part file upload streaming route and registered the inference and task-status route groups.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Async Task Infrastructure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Deployed the task broker and parallel computing infrastructure: worker scaffolding, the broker hook, and per-family queues.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concurrent orchestrator running speech recognition, emotion recognition and deepfake detection together on one clip.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Caching System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Designed and built the deterministic cache-by-hash architecture.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payload hashing middleware that computes a content hash before the request reaches the handler.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tensor serialisation layer with binary encoding and compression, so attribution matrices and attention tensors could be stored efficiently.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Real-Time Task State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streaming and long-polling handlers for task states.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task-status hook, global progress component and live prediction display, so long-running jobs report progress instead of blocking the interface.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Explainability &amp; Perturbation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Built the attribution library integration underpinning the saliency stack, the Integrated Gradients temporal formulation, and the spatial Grad-CAM registration hooks.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the LIME/SHAP translators for spectrogram frameworks and the value matrix coordinate transformer.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Coded the signal mutation engine, the time-frequency slice masking and pitch exporter, and the patch segmentation and perturbation matrix generator.</w:t>
            </w:r>
          </w:p>
        </w:tc>
      </w:tr>
      <w:tr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Model Ingestion &amp; Testing</w:t>
            </w:r>
          </w:p>
        </w:tc>
        <w:tc>
          <w:tcPr>
            <w:tcW w:type="dxa" w:w="725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70"/>
              <w:bottom w:type="dxa" w:w="7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model identifier resolver, safetensors validation, and the version-pinned model cache.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Wrote unit tests for the cache layer, payload hashing, the queue service, the saliency service and the perturbation 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40"/>
              <w:ind w:left="180" w:hanging="180"/>
            </w:pPr>
            <w:r>
              <w:rPr>
                <w:color w:val="000000"/>
                <w:sz w:val="18"/>
                <w:szCs w:val="18"/>
              </w:rPr>
              <w:t xml:space="preserve">Implemented the memory profiling and stress-test suites, and a standalone profiling script.</w:t>
            </w:r>
          </w:p>
        </w:tc>
      </w:tr>
    </w:tbl>
    <w:p>
      <w:pPr>
        <w:spacing w:after="80" w:before="200"/>
      </w:pPr>
      <w:r>
        <w:rPr>
          <w:b/>
          <w:bCs/>
          <w:color w:val="000000"/>
          <w:sz w:val="19"/>
          <w:szCs w:val="19"/>
        </w:rPr>
        <w:t xml:space="preserve">Challenges &amp; Solutions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b/>
          <w:bCs/>
          <w:color w:val="000000"/>
          <w:sz w:val="18"/>
          <w:szCs w:val="18"/>
        </w:rPr>
        <w:t xml:space="preserve">Tests could not depend on a live cache server. </w:t>
      </w:r>
      <w:r>
        <w:rPr>
          <w:color w:val="000000"/>
          <w:sz w:val="18"/>
          <w:szCs w:val="18"/>
        </w:rPr>
        <w:t xml:space="preserve">This made the caching layer untestable in the pipeline. Introduced an in-memory fake so cache behaviour could be asserted deterministically.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b/>
          <w:bCs/>
          <w:color w:val="000000"/>
          <w:sz w:val="18"/>
          <w:szCs w:val="18"/>
        </w:rPr>
        <w:t xml:space="preserve">Large attribution tensors were expensive to cache. </w:t>
      </w:r>
      <w:r>
        <w:rPr>
          <w:color w:val="000000"/>
          <w:sz w:val="18"/>
          <w:szCs w:val="18"/>
        </w:rPr>
        <w:t xml:space="preserve">Adopted binary encoding with compression above a size threshold, leaving small payloads uncompressed.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b/>
          <w:bCs/>
          <w:color w:val="000000"/>
          <w:sz w:val="18"/>
          <w:szCs w:val="18"/>
        </w:rPr>
        <w:t xml:space="preserve">The pipeline installed only a subset of the required packages. </w:t>
      </w:r>
      <w:r>
        <w:rPr>
          <w:color w:val="000000"/>
          <w:sz w:val="18"/>
          <w:szCs w:val="18"/>
        </w:rPr>
        <w:t xml:space="preserve">Backend jobs failed on imports that worked locally. Corrected the dependency installation step.</w:t>
      </w:r>
    </w:p>
    <w:p>
      <w:pPr>
        <w:pStyle w:val="ListParagraph"/>
        <w:numPr>
          <w:ilvl w:val="0"/>
          <w:numId w:val="2"/>
        </w:numPr>
        <w:spacing w:after="20" w:before="20" w:line="240"/>
        <w:ind w:left="180" w:hanging="180"/>
      </w:pPr>
      <w:r>
        <w:rPr>
          <w:b/>
          <w:bCs/>
          <w:color w:val="000000"/>
          <w:sz w:val="18"/>
          <w:szCs w:val="18"/>
        </w:rPr>
        <w:t xml:space="preserve">Long-running inference blocked the interface with no feedback. </w:t>
      </w:r>
      <w:r>
        <w:rPr>
          <w:color w:val="000000"/>
          <w:sz w:val="18"/>
          <w:szCs w:val="18"/>
        </w:rPr>
        <w:t xml:space="preserve">Combined the task broker with progress events and a polling fallback, so the browser follows a job rather than waiting on a request.</w:t>
      </w:r>
    </w:p>
    <w:sectPr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AudioLIT Individual Contribution Reports</dc:title>
  <dc:creator>Group 19</dc:creator>
  <cp:lastModifiedBy>Un-named</cp:lastModifiedBy>
  <cp:revision>1</cp:revision>
  <dcterms:created xsi:type="dcterms:W3CDTF">2026-08-21T14:15:46.410Z</dcterms:created>
  <dcterms:modified xsi:type="dcterms:W3CDTF">2026-08-21T14:15:46.411Z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