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× Audit × Anchoring — Verified Research Brief (Dissertation Bridge)</w:t>
      </w:r>
    </w:p>
    <w:p>
      <w:r>
        <w:rPr>
          <w:b/>
        </w:rPr>
        <w:t>Compiled:</w:t>
      </w:r>
      <w:r>
        <w:t xml:space="preserve"> July 23, 2026 · All sources web-verified (publisher/DOI). Feeds Ch. 6.3 of the qualifying manuscript and the dissertation proposal's motivation section.</w:t>
      </w:r>
    </w:p>
    <w:p>
      <w:pPr>
        <w:pStyle w:val="Heading2"/>
      </w:pPr>
      <w:r>
        <w:t>The two-sided research gap the dissertation occupies</w:t>
      </w:r>
    </w:p>
    <w:p>
      <w:r>
        <w:rPr>
          <w:b/>
        </w:rPr>
        <w:t>AI helps (attenuates anchors / improves quality):</w:t>
      </w:r>
    </w:p>
    <w:p>
      <w:pPr>
        <w:pStyle w:val="ListBullet"/>
      </w:pPr>
      <w:r>
        <w:t xml:space="preserve">Fedyk, Hodson, Khimich, &amp; Fedyk (2022), </w:t>
      </w:r>
      <w:r>
        <w:rPr>
          <w:i/>
        </w:rPr>
        <w:t>Rev. of Accounting Studies</w:t>
      </w:r>
      <w:r>
        <w:t xml:space="preserve"> — firm-level AI investment → fewer restatements, lower fees. DOI: 10.1007/s11142-022-09697-x</w:t>
      </w:r>
    </w:p>
    <w:p>
      <w:pPr>
        <w:pStyle w:val="ListBullet"/>
      </w:pPr>
      <w:r>
        <w:t xml:space="preserve">Eulerich, Sanatizadeh, Vakilzadeh, &amp; Wood (2024), </w:t>
      </w:r>
      <w:r>
        <w:rPr>
          <w:i/>
        </w:rPr>
        <w:t>Rev. of Accounting Studies</w:t>
      </w:r>
      <w:r>
        <w:t xml:space="preserve"> — GPT-4 (configured well) passes all major accounting/auditing certification exams. DOI: 10.1007/s11142-024-09833-9</w:t>
      </w:r>
    </w:p>
    <w:p>
      <w:pPr>
        <w:pStyle w:val="ListBullet"/>
      </w:pPr>
      <w:r>
        <w:t xml:space="preserve">Emett, Eulerich, Lipinski, Prien, &amp; Wood (2025), </w:t>
      </w:r>
      <w:r>
        <w:rPr>
          <w:i/>
        </w:rPr>
        <w:t>Accounting Horizons</w:t>
      </w:r>
      <w:r>
        <w:t xml:space="preserve"> — ChatGPT embedded in Uniper's internal audit; 50–80% efficiency gains; LLM output now enters workpapers. DOI: 10.2308/HORIZONS-2023-111</w:t>
      </w:r>
    </w:p>
    <w:p>
      <w:pPr>
        <w:pStyle w:val="ListBullet"/>
      </w:pPr>
      <w:r>
        <w:t xml:space="preserve">Estep, Griffith, &amp; MacKenzie (2024), </w:t>
      </w:r>
      <w:r>
        <w:rPr>
          <w:i/>
        </w:rPr>
        <w:t>Rev. of Accounting Studies</w:t>
      </w:r>
      <w:r>
        <w:t xml:space="preserve"> — executives book larger adjustments when auditors use AI on AI-assisted estimates → AI evidence helps move clients off management's anchor. DOI: 10.1007/s11142-023-09771-y</w:t>
      </w:r>
    </w:p>
    <w:p>
      <w:r>
        <w:rPr>
          <w:b/>
        </w:rPr>
        <w:t>AI hurts (relocates anchors / new bias channels):</w:t>
      </w:r>
    </w:p>
    <w:p>
      <w:pPr>
        <w:pStyle w:val="ListBullet"/>
      </w:pPr>
      <w:r>
        <w:t xml:space="preserve">Commerford, Dennis, Joe, &amp; Ulla (2022), </w:t>
      </w:r>
      <w:r>
        <w:rPr>
          <w:i/>
        </w:rPr>
        <w:t>J. of Accounting Research</w:t>
      </w:r>
      <w:r>
        <w:t xml:space="preserve"> — algorithm aversion: auditors discount contradictory AI evidence vs. identical human-specialist evidence, worst on subjective estimates. DOI: 10.1111/1475-679X.12407</w:t>
      </w:r>
    </w:p>
    <w:p>
      <w:pPr>
        <w:pStyle w:val="ListBullet"/>
      </w:pPr>
      <w:r>
        <w:t xml:space="preserve">Koreff (2022), </w:t>
      </w:r>
      <w:r>
        <w:rPr>
          <w:i/>
        </w:rPr>
        <w:t>J. of Information Systems</w:t>
      </w:r>
      <w:r>
        <w:t xml:space="preserve"> — identical algorithmic risk signals → inconsistent risk responses depending on tool/data type. DOI: 10.2308/ISYS-19-051</w:t>
      </w:r>
    </w:p>
    <w:p>
      <w:pPr>
        <w:pStyle w:val="ListBullet"/>
      </w:pPr>
      <w:r>
        <w:t xml:space="preserve">Kokina, Blanchette, Davenport, &amp; Pachamanova (2025), </w:t>
      </w:r>
      <w:r>
        <w:rPr>
          <w:i/>
        </w:rPr>
        <w:t>Int. J. of Accounting Information Systems</w:t>
      </w:r>
      <w:r>
        <w:t xml:space="preserve"> — opaque AI pushes auditors back onto prior client knowledge = anchoring-by-default in long-term engagements. DOI: 10.1016/j.accinf.2025.100734</w:t>
      </w:r>
    </w:p>
    <w:p>
      <w:pPr>
        <w:pStyle w:val="ListBullet"/>
      </w:pPr>
      <w:r>
        <w:t xml:space="preserve">Murikah, Nthenge, &amp; Musyoka (2024), </w:t>
      </w:r>
      <w:r>
        <w:rPr>
          <w:i/>
        </w:rPr>
        <w:t>Scientific African</w:t>
      </w:r>
      <w:r>
        <w:t xml:space="preserve"> — systematic review: cognitive-bias transfer between auditors and AI is a first-order risk. DOI: 10.1016/j.sciaf.2024.e02281</w:t>
      </w:r>
    </w:p>
    <w:p>
      <w:r>
        <w:rPr>
          <w:b/>
        </w:rPr>
        <w:t>Human-anchor baseline:</w:t>
      </w:r>
    </w:p>
    <w:p>
      <w:pPr>
        <w:pStyle w:val="ListBullet"/>
      </w:pPr>
      <w:r>
        <w:t xml:space="preserve">Henrizi, Himmelsbach, &amp; Hunziker (2021), </w:t>
      </w:r>
      <w:r>
        <w:rPr>
          <w:i/>
        </w:rPr>
        <w:t>J. of Applied Accounting Research</w:t>
      </w:r>
      <w:r>
        <w:t xml:space="preserve"> — experiment, 85 auditors: prior-year workpapers are the dominant anchor; training/awareness and experience attenuate. DOI: 10.1108/JAAR-01-2020-0011</w:t>
      </w:r>
    </w:p>
    <w:p>
      <w:r>
        <w:rPr>
          <w:b/>
        </w:rPr>
        <w:t>Institutional/regulatory frame:</w:t>
      </w:r>
    </w:p>
    <w:p>
      <w:pPr>
        <w:pStyle w:val="ListBullet"/>
      </w:pPr>
      <w:r>
        <w:t>PCAOB (2024) GenAI Spotlight — human supervision of GenAI output in audit execution. pcaobus.org/documents/generative-ai-spotlight.pdf</w:t>
      </w:r>
    </w:p>
    <w:p>
      <w:pPr>
        <w:pStyle w:val="ListBullet"/>
      </w:pPr>
      <w:r>
        <w:t>IAASB (2024) Technology focus area — automated-tools considerations folded into audit-evidence standards. iaasb.org/focus-areas/technology</w:t>
      </w:r>
    </w:p>
    <w:p>
      <w:pPr>
        <w:pStyle w:val="Heading2"/>
      </w:pPr>
      <w:r>
        <w:t>Construct mapping (this study's model → dissertation terrain)</w:t>
      </w:r>
    </w:p>
    <w:p>
      <w:r>
        <w:t>| This study's construct | Dissertation translation |</w:t>
      </w:r>
    </w:p>
    <w:p>
      <w:r>
        <w:t>|---|---|</w:t>
      </w:r>
    </w:p>
    <w:p>
      <w:r>
        <w:t>| Use of Analytical Tools | Tool design/explainability at the aversion↔over-reliance boundary |</w:t>
      </w:r>
    </w:p>
    <w:p>
      <w:r>
        <w:t>| Structured Auditing Processes + Independent Reviews | Supervision &amp; verification of AI-generated workpaper content |</w:t>
      </w:r>
    </w:p>
    <w:p>
      <w:r>
        <w:t>| Regulatory &amp; Professional Guidance | PCAOB/IAASB AI-oversight regime |</w:t>
      </w:r>
    </w:p>
    <w:p>
      <w:r>
        <w:t>| AJQ + APR (mediators) | Human–machine reliance calibration |</w:t>
      </w:r>
    </w:p>
    <w:p>
      <w:r>
        <w:t>| Reduction in Anchoring Bias (DV) | Human anchor attenuated vs. algorithmic anchor substituted |</w:t>
      </w:r>
    </w:p>
    <w:p>
      <w:pPr>
        <w:pStyle w:val="Heading2"/>
      </w:pPr>
      <w:r>
        <w:t>Scholar alert currency</w:t>
      </w:r>
    </w:p>
    <w:p>
      <w:r>
        <w:t xml:space="preserve">Jul 9–22 sweep: 10 alerts, all algorithmic-bias auditing (bucket b) — no new human-auditor anchoring work; Ch. 2 remains current. Standout for dissertation motivation: Krey, Rancati, Parajuli, &amp; Srivastava (2026), </w:t>
      </w:r>
      <w:r>
        <w:rPr>
          <w:i/>
        </w:rPr>
        <w:t>Int. J. of Bank Marketing</w:t>
      </w:r>
      <w:r>
        <w:t xml:space="preserve"> — AI &amp; bias in banking/financial services review + research agenda.</w:t>
      </w:r>
    </w:p>
    <w:p>
      <w:pPr>
        <w:pStyle w:val="Heading2"/>
      </w:pPr>
      <w:r>
        <w:t>Addendum (Jul 24, 2026): Sycophancy → Epistemic Risk chain — verified sources</w:t>
      </w:r>
    </w:p>
    <w:p>
      <w:r>
        <w:rPr>
          <w:b/>
        </w:rPr>
        <w:t>The dissertation's new causal layer:</w:t>
      </w:r>
      <w:r>
        <w:t xml:space="preserve"> prior-period anchor → LLM sycophancy confirms it → epistemic risk (conclusions drift toward confirmation). Figure: </w:t>
      </w:r>
      <w:r>
        <w:rPr>
          <w:rFonts w:ascii="Courier New" w:hAnsi="Courier New"/>
        </w:rPr>
        <w:t>Anchoring_Bias_Model_v2_Dissertation.png</w:t>
      </w:r>
      <w:r>
        <w:t>.</w:t>
      </w:r>
    </w:p>
    <w:p>
      <w:pPr>
        <w:pStyle w:val="ListBullet"/>
      </w:pPr>
      <w:r>
        <w:t>Sharma et al. (2024), ICLR — foundational sycophancy evidence; RLHF rewards agreement over truth. arXiv:2310.13548</w:t>
      </w:r>
    </w:p>
    <w:p>
      <w:pPr>
        <w:pStyle w:val="ListBullet"/>
      </w:pPr>
      <w:r>
        <w:t>Perez et al. (2023), ACL Findings — sycophancy scales with model size/RLHF. arXiv:2212.09251</w:t>
      </w:r>
    </w:p>
    <w:p>
      <w:pPr>
        <w:pStyle w:val="ListBullet"/>
      </w:pPr>
      <w:r>
        <w:t>Fanous et al. (2025) — SycEval: sycophancy in 58% of tested cases; regressive (right→wrong) shifts under rebuttal. arXiv:2502.08177</w:t>
      </w:r>
    </w:p>
    <w:p>
      <w:pPr>
        <w:pStyle w:val="ListBullet"/>
      </w:pPr>
      <w:r>
        <w:t xml:space="preserve">Glickman &amp; Sharot (2025), </w:t>
      </w:r>
      <w:r>
        <w:rPr>
          <w:i/>
        </w:rPr>
        <w:t>Nature Human Behaviour</w:t>
      </w:r>
      <w:r>
        <w:t xml:space="preserve"> — human bias absorbed, amplified, fed back; users unaware. DOI: 10.1038/s41562-024-02077-2</w:t>
      </w:r>
    </w:p>
    <w:p>
      <w:pPr>
        <w:pStyle w:val="ListBullet"/>
      </w:pPr>
      <w:r>
        <w:t>Lee et al. (2025), CHI — GenAI confidence ↓ critical thinking in 936 real knowledge-work tasks. DOI: 10.1145/3706598.3713778</w:t>
      </w:r>
    </w:p>
    <w:p>
      <w:pPr>
        <w:pStyle w:val="ListBullet"/>
      </w:pPr>
      <w:r>
        <w:t xml:space="preserve">Messeri &amp; Crockett (2024), </w:t>
      </w:r>
      <w:r>
        <w:rPr>
          <w:i/>
        </w:rPr>
        <w:t>Nature</w:t>
      </w:r>
      <w:r>
        <w:t xml:space="preserve"> — illusions of understanding, epistemic monoculture. DOI: 10.1038/s41586-024-07146-0</w:t>
      </w:r>
    </w:p>
    <w:p>
      <w:pPr>
        <w:pStyle w:val="ListBullet"/>
      </w:pPr>
      <w:r>
        <w:t>Fotoh &amp; Mugwira (2025), IJAIS — LLM over-reliance threatens professional skepticism in external audit. DOI: 10.1016/j.accinf.2025.100748</w:t>
      </w:r>
    </w:p>
    <w:p>
      <w:pPr>
        <w:pStyle w:val="ListBullet"/>
      </w:pPr>
      <w:r>
        <w:t>NIST AI 600-1 (2024) — "Human-AI Configuration" risk class: over-reliance, miscalibrated oversight.</w:t>
      </w:r>
    </w:p>
    <w:p>
      <w:r>
        <w:rPr>
          <w:b/>
        </w:rPr>
        <w:t>Contribution claim:</w:t>
      </w:r>
      <w:r>
        <w:t xml:space="preserve"> sycophancy has validated behavioral metrics (SycophancyEval, SycEval); </w:t>
      </w:r>
      <w:r>
        <w:rPr>
          <w:b/>
        </w:rPr>
        <w:t>epistemic risk has no standardized instrument</w:t>
      </w:r>
      <w:r>
        <w:t xml:space="preserve"> — operationalizing epistemic drift vs. independent-evidence benchmarks is the dissertation's measurement contribution.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