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cs="Georgia"/>
          <w:b/>
          <w:i w:val="0"/>
          <w:color w:val="1F4E79"/>
          <w:sz w:val="30"/>
        </w:rPr>
        <w:t xml:space="preserve">Audit </w:t>
      </w:r>
      <w:r>
        <w:rPr>
          <w:rFonts w:ascii="Georgia" w:hAnsi="Georgia" w:cs="Georgia"/>
          <w:b w:val="0"/>
          <w:i/>
          <w:color w:val="767D86"/>
          <w:sz w:val="24"/>
        </w:rPr>
        <w:t xml:space="preserve">the </w:t>
      </w:r>
      <w:r>
        <w:rPr>
          <w:rFonts w:ascii="Georgia" w:hAnsi="Georgia" w:cs="Georgia"/>
          <w:b/>
          <w:i w:val="0"/>
          <w:color w:val="1F4E79"/>
          <w:sz w:val="30"/>
        </w:rPr>
        <w:t>Algorithm</w:t>
      </w:r>
    </w:p>
    <w:p>
      <w:pPr>
        <w:spacing w:after="180"/>
        <w:pBdr>
          <w:bottom w:val="single" w:sz="12" w:space="4" w:color="1F4E79"/>
        </w:pBdr>
      </w:pPr>
      <w:r>
        <w:rPr>
          <w:rFonts w:ascii="Consolas" w:hAnsi="Consolas" w:cs="Consolas"/>
          <w:b w:val="0"/>
          <w:i w:val="0"/>
          <w:color w:val="767D86"/>
          <w:sz w:val="15"/>
          <w:spacing w:val="18"/>
        </w:rPr>
        <w:t>github.com/AuditingAI/Profile   ·   auditingai.github.io</w:t>
      </w:r>
    </w:p>
    <w:p>
      <w:pPr>
        <w:spacing w:before="200" w:after="40"/>
      </w:pPr>
      <w:r>
        <w:rPr>
          <w:rFonts w:ascii="Georgia" w:hAnsi="Georgia" w:cs="Georgia"/>
          <w:b/>
          <w:i w:val="0"/>
          <w:color w:val="14171C"/>
          <w:sz w:val="30"/>
        </w:rPr>
        <w:t>Internationalization and Performance</w:t>
      </w:r>
    </w:p>
    <w:p>
      <w:pPr>
        <w:spacing w:after="320"/>
      </w:pPr>
      <w:r>
        <w:rPr>
          <w:rFonts w:ascii="Consolas" w:hAnsi="Consolas" w:cs="Consolas"/>
          <w:b w:val="0"/>
          <w:i w:val="0"/>
          <w:caps/>
          <w:color w:val="767D86"/>
          <w:sz w:val="16"/>
          <w:spacing w:val="22"/>
        </w:rPr>
        <w:t>Yasir A. Malik  ·  GEB 7365 International Business  ·  Prof. William Newburry  ·  27 August 2026</w:t>
      </w:r>
    </w:p>
    <w:p>
      <w:pPr>
        <w:spacing w:before="320" w:after="80"/>
      </w:pPr>
      <w:r>
        <w:rPr>
          <w:rFonts w:ascii="Georgia" w:hAnsi="Georgia" w:cs="Georgia"/>
          <w:b/>
          <w:i w:val="0"/>
          <w:color w:val="1F4E79"/>
          <w:sz w:val="25"/>
        </w:rPr>
        <w:t>1 · Major findings</w:t>
      </w:r>
    </w:p>
    <w:p>
      <w:pPr>
        <w:spacing w:after="180" w:line="480" w:lineRule="auto"/>
        <w:jc w:val="both"/>
      </w:pPr>
      <w:r>
        <w:rPr>
          <w:rFonts w:ascii="Georgia" w:hAnsi="Georgia" w:cs="Georgia"/>
          <w:b w:val="0"/>
          <w:i w:val="0"/>
          <w:color w:val="14171C"/>
          <w:sz w:val="24"/>
        </w:rPr>
        <w:t xml:space="preserve">These four papers are usually read as four contributions to the internationalization–performance literature. Read together, they are better understood as one recurring diagnosis: </w:t>
      </w:r>
      <w:r>
        <w:rPr>
          <w:rFonts w:ascii="Georgia" w:hAnsi="Georgia" w:cs="Georgia"/>
          <w:b/>
          <w:i w:val="0"/>
          <w:color w:val="14171C"/>
          <w:sz w:val="24"/>
        </w:rPr>
        <w:t>at each stage, the field measured the wrong thing, or measured one thing while believing it had measured another.</w:t>
      </w:r>
    </w:p>
    <w:p>
      <w:pPr>
        <w:spacing w:after="180" w:line="480" w:lineRule="auto"/>
        <w:jc w:val="both"/>
      </w:pPr>
      <w:r>
        <w:rPr>
          <w:rFonts w:ascii="Georgia" w:hAnsi="Georgia" w:cs="Georgia"/>
          <w:b/>
          <w:i w:val="0"/>
          <w:color w:val="14171C"/>
          <w:sz w:val="24"/>
        </w:rPr>
        <w:t>Contractor, Kundu and Hsu (2003)</w:t>
      </w:r>
      <w:r>
        <w:rPr>
          <w:rFonts w:ascii="Georgia" w:hAnsi="Georgia" w:cs="Georgia"/>
          <w:b w:val="0"/>
          <w:i w:val="0"/>
          <w:color w:val="14171C"/>
          <w:sz w:val="24"/>
        </w:rPr>
        <w:t xml:space="preserve">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after="180" w:line="480" w:lineRule="auto"/>
        <w:jc w:val="both"/>
      </w:pPr>
      <w:r>
        <w:rPr>
          <w:rFonts w:ascii="Georgia" w:hAnsi="Georgia" w:cs="Georgia"/>
          <w:b w:val="0"/>
          <w:i w:val="0"/>
          <w:color w:val="14171C"/>
          <w:sz w:val="24"/>
        </w:rPr>
        <w:t>That sentence reframes a thirty-year disagreement as an artefact of sampling. The field was not disagreeing about firms. It was looking at different segments of one curve and reporting each as a finding about the whole.</w:t>
      </w:r>
    </w:p>
    <w:p>
      <w:pPr>
        <w:spacing w:after="180" w:line="480" w:lineRule="auto"/>
        <w:jc w:val="both"/>
      </w:pPr>
      <w:r>
        <w:rPr>
          <w:rFonts w:ascii="Georgia" w:hAnsi="Georgia" w:cs="Georgia"/>
          <w:b w:val="0"/>
          <w:i w:val="0"/>
          <w:color w:val="14171C"/>
          <w:sz w:val="24"/>
        </w:rPr>
        <w:t>Their sub-finding is equally consequential. Knowledge-based service firms — advertising, market research, securities, publishing —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after="180" w:line="480" w:lineRule="auto"/>
        <w:jc w:val="both"/>
      </w:pPr>
      <w:r>
        <w:rPr>
          <w:rFonts w:ascii="Georgia" w:hAnsi="Georgia" w:cs="Georgia"/>
          <w:b/>
          <w:i w:val="0"/>
          <w:color w:val="14171C"/>
          <w:sz w:val="24"/>
        </w:rPr>
        <w:t>Mezias (2002)</w:t>
      </w:r>
      <w:r>
        <w:rPr>
          <w:rFonts w:ascii="Georgia" w:hAnsi="Georgia" w:cs="Georgia"/>
          <w:b w:val="0"/>
          <w:i w:val="0"/>
          <w:color w:val="14171C"/>
          <w:sz w:val="24"/>
        </w:rPr>
        <w:t xml:space="preserve">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 "while most performance measures aggregate advantages and disadvantages, labor lawsuits only measure labor-related disadvantage. Also, income shifting or transfer pricing between parent and subsidiary do not affect this measure."</w:t>
      </w:r>
    </w:p>
    <w:p>
      <w:pPr>
        <w:spacing w:after="180" w:line="480" w:lineRule="auto"/>
        <w:jc w:val="both"/>
      </w:pPr>
      <w:r>
        <w:rPr>
          <w:rFonts w:ascii="Georgia" w:hAnsi="Georgia" w:cs="Georgia"/>
          <w:b w:val="0"/>
          <w:i w:val="0"/>
          <w:color w:val="14171C"/>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after="180" w:line="480" w:lineRule="auto"/>
        <w:jc w:val="both"/>
      </w:pPr>
      <w:r>
        <w:rPr>
          <w:rFonts w:ascii="Georgia" w:hAnsi="Georgia" w:cs="Georgia"/>
          <w:b/>
          <w:i w:val="0"/>
          <w:color w:val="14171C"/>
          <w:sz w:val="24"/>
        </w:rPr>
        <w:t>Ghemawat (2001)</w:t>
      </w:r>
      <w:r>
        <w:rPr>
          <w:rFonts w:ascii="Georgia" w:hAnsi="Georgia" w:cs="Georgia"/>
          <w:b w:val="0"/>
          <w:i w:val="0"/>
          <w:color w:val="14171C"/>
          <w:sz w:val="24"/>
        </w:rPr>
        <w:t xml:space="preserve"> relocates the same problem into practice. Country portfolio analysis — the standard tool for ranking foreign market opportunities —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 cultural, administrative or political, geographic, and economic — and his central point is that firms routinely solve one and assume they have solved distance.</w:t>
      </w:r>
    </w:p>
    <w:p>
      <w:pPr>
        <w:spacing w:after="180" w:line="480" w:lineRule="auto"/>
        <w:jc w:val="both"/>
      </w:pPr>
      <w:r>
        <w:rPr>
          <w:rFonts w:ascii="Georgia" w:hAnsi="Georgia" w:cs="Georgia"/>
          <w:b w:val="0"/>
          <w:i w:val="0"/>
          <w:color w:val="14171C"/>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after="180" w:line="480" w:lineRule="auto"/>
        <w:jc w:val="both"/>
      </w:pPr>
      <w:r>
        <w:rPr>
          <w:rFonts w:ascii="Georgia" w:hAnsi="Georgia" w:cs="Georgia"/>
          <w:b/>
          <w:i w:val="0"/>
          <w:color w:val="14171C"/>
          <w:sz w:val="24"/>
        </w:rPr>
        <w:t>Arregle and colleagues (2021)</w:t>
      </w:r>
      <w:r>
        <w:rPr>
          <w:rFonts w:ascii="Georgia" w:hAnsi="Georgia" w:cs="Georgia"/>
          <w:b w:val="0"/>
          <w:i w:val="0"/>
          <w:color w:val="14171C"/>
          <w:sz w:val="24"/>
        </w:rPr>
        <w:t xml:space="preserve">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after="180" w:line="480" w:lineRule="auto"/>
        <w:jc w:val="both"/>
      </w:pPr>
      <w:r>
        <w:rPr>
          <w:rFonts w:ascii="Georgia" w:hAnsi="Georgia" w:cs="Georgia"/>
          <w:b w:val="0"/>
          <w:i w:val="0"/>
          <w:color w:val="14171C"/>
          <w:sz w:val="24"/>
        </w:rPr>
        <w:t>The seventh theme is Contractor's question, asked of a different population, eighteen years later — and it is still unresolved.</w:t>
      </w:r>
    </w:p>
    <w:p>
      <w:pPr>
        <w:spacing w:before="320" w:after="80"/>
      </w:pPr>
      <w:r>
        <w:rPr>
          <w:rFonts w:ascii="Georgia" w:hAnsi="Georgia" w:cs="Georgia"/>
          <w:b/>
          <w:i w:val="0"/>
          <w:color w:val="1F4E79"/>
          <w:sz w:val="25"/>
        </w:rPr>
        <w:t>2 · Importance and contribution to international business</w:t>
      </w:r>
    </w:p>
    <w:p>
      <w:pPr>
        <w:spacing w:after="180" w:line="480" w:lineRule="auto"/>
        <w:jc w:val="both"/>
      </w:pPr>
      <w:r>
        <w:rPr>
          <w:rFonts w:ascii="Georgia" w:hAnsi="Georgia" w:cs="Georgia"/>
          <w:b w:val="0"/>
          <w:i w:val="0"/>
          <w:color w:val="14171C"/>
          <w:sz w:val="24"/>
        </w:rPr>
        <w:t>The contribution these papers make jointly is larger than the sum of their individual claims.</w:t>
      </w:r>
    </w:p>
    <w:p>
      <w:pPr>
        <w:spacing w:after="180" w:line="480" w:lineRule="auto"/>
        <w:jc w:val="both"/>
      </w:pPr>
      <w:r>
        <w:rPr>
          <w:rFonts w:ascii="Georgia" w:hAnsi="Georgia" w:cs="Georgia"/>
          <w:b/>
          <w:i w:val="0"/>
          <w:color w:val="14171C"/>
          <w:sz w:val="24"/>
        </w:rPr>
        <w:t>They change the question a manager should be asking.</w:t>
      </w:r>
      <w:r>
        <w:rPr>
          <w:rFonts w:ascii="Georgia" w:hAnsi="Georgia" w:cs="Georgia"/>
          <w:b w:val="0"/>
          <w:i w:val="0"/>
          <w:color w:val="14171C"/>
          <w:sz w:val="24"/>
        </w:rPr>
        <w:t xml:space="preserve">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after="180" w:line="480" w:lineRule="auto"/>
        <w:jc w:val="both"/>
      </w:pPr>
      <w:r>
        <w:rPr>
          <w:rFonts w:ascii="Georgia" w:hAnsi="Georgia" w:cs="Georgia"/>
          <w:b/>
          <w:i w:val="0"/>
          <w:color w:val="14171C"/>
          <w:sz w:val="24"/>
        </w:rPr>
        <w:t>They demonstrate that measurement choice is a theoretical act, not a technical one.</w:t>
      </w:r>
      <w:r>
        <w:rPr>
          <w:rFonts w:ascii="Georgia" w:hAnsi="Georgia" w:cs="Georgia"/>
          <w:b w:val="0"/>
          <w:i w:val="0"/>
          <w:color w:val="14171C"/>
          <w:sz w:val="24"/>
        </w:rPr>
        <w:t xml:space="preserv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after="180" w:line="480" w:lineRule="auto"/>
        <w:jc w:val="both"/>
      </w:pPr>
      <w:r>
        <w:rPr>
          <w:rFonts w:ascii="Georgia" w:hAnsi="Georgia" w:cs="Georgia"/>
          <w:b/>
          <w:i w:val="0"/>
          <w:color w:val="14171C"/>
          <w:sz w:val="24"/>
        </w:rPr>
        <w:t>They give the field a vocabulary for a difference it kept treating as noise.</w:t>
      </w:r>
      <w:r>
        <w:rPr>
          <w:rFonts w:ascii="Georgia" w:hAnsi="Georgia" w:cs="Georgia"/>
          <w:b w:val="0"/>
          <w:i w:val="0"/>
          <w:color w:val="14171C"/>
          <w:sz w:val="24"/>
        </w:rPr>
        <w:t xml:space="preserve"> Ghemawat's four distances turn "foreign markets are harder" into four separable, partially addressable problems, each with its own remedies. The framework's durability in practice — it long predates and largely anticipates how much later work treats institutional and cultural distance — reflects that it decomposed something the literature had been carrying as a single undifferentiated term.</w:t>
      </w:r>
    </w:p>
    <w:p>
      <w:pPr>
        <w:spacing w:after="180" w:line="480" w:lineRule="auto"/>
        <w:jc w:val="both"/>
      </w:pPr>
      <w:r>
        <w:rPr>
          <w:rFonts w:ascii="Georgia" w:hAnsi="Georgia" w:cs="Georgia"/>
          <w:b/>
          <w:i w:val="0"/>
          <w:color w:val="14171C"/>
          <w:sz w:val="24"/>
        </w:rPr>
        <w:t>They establish that persistence of disagreement is itself evidence.</w:t>
      </w:r>
      <w:r>
        <w:rPr>
          <w:rFonts w:ascii="Georgia" w:hAnsi="Georgia" w:cs="Georgia"/>
          <w:b w:val="0"/>
          <w:i w:val="0"/>
          <w:color w:val="14171C"/>
          <w:sz w:val="24"/>
        </w:rPr>
        <w:t xml:space="preserve"> Arregle's review is not a report that more work is needed. Two hundred and twenty studies is not too few. A literature that remains incompatible at that volume is signalling a problem upstream of any individual study — which is the reading these four papers, taken together, support.</w:t>
      </w:r>
    </w:p>
    <w:p>
      <w:pPr>
        <w:spacing w:before="320" w:after="80"/>
      </w:pPr>
      <w:r>
        <w:rPr>
          <w:rFonts w:ascii="Georgia" w:hAnsi="Georgia" w:cs="Georgia"/>
          <w:b/>
          <w:i w:val="0"/>
          <w:color w:val="1F4E79"/>
          <w:sz w:val="25"/>
        </w:rPr>
        <w:t>3 · Limitations</w:t>
      </w:r>
    </w:p>
    <w:p>
      <w:pPr>
        <w:spacing w:after="180" w:line="480" w:lineRule="auto"/>
        <w:jc w:val="both"/>
      </w:pPr>
      <w:r>
        <w:rPr>
          <w:rFonts w:ascii="Georgia" w:hAnsi="Georgia" w:cs="Georgia"/>
          <w:b w:val="0"/>
          <w:i w:val="0"/>
          <w:color w:val="14171C"/>
          <w:sz w:val="24"/>
        </w:rPr>
        <w:t>Measurement is the through-line, and the papers themselves supply most of the evidence for the critique.</w:t>
      </w:r>
    </w:p>
    <w:p>
      <w:pPr>
        <w:spacing w:after="180" w:line="480" w:lineRule="auto"/>
        <w:jc w:val="both"/>
      </w:pPr>
      <w:r>
        <w:rPr>
          <w:rFonts w:ascii="Georgia" w:hAnsi="Georgia" w:cs="Georgia"/>
          <w:b/>
          <w:i w:val="0"/>
          <w:color w:val="14171C"/>
          <w:sz w:val="24"/>
        </w:rPr>
        <w:t>The dependent and independent variables are unstable across the literature.</w:t>
      </w:r>
      <w:r>
        <w:rPr>
          <w:rFonts w:ascii="Georgia" w:hAnsi="Georgia" w:cs="Georgia"/>
          <w:b w:val="0"/>
          <w:i w:val="0"/>
          <w:color w:val="14171C"/>
          <w:sz w:val="24"/>
        </w:rPr>
        <w:t xml:space="preserv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after="180" w:line="480" w:lineRule="auto"/>
        <w:jc w:val="both"/>
      </w:pPr>
      <w:r>
        <w:rPr>
          <w:rFonts w:ascii="Georgia" w:hAnsi="Georgia" w:cs="Georgia"/>
          <w:b/>
          <w:i w:val="0"/>
          <w:color w:val="14171C"/>
          <w:sz w:val="24"/>
        </w:rPr>
        <w:t>Aggregate performance measures cannot isolate what the theory is about.</w:t>
      </w:r>
      <w:r>
        <w:rPr>
          <w:rFonts w:ascii="Georgia" w:hAnsi="Georgia" w:cs="Georgia"/>
          <w:b w:val="0"/>
          <w:i w:val="0"/>
          <w:color w:val="14171C"/>
          <w:sz w:val="24"/>
        </w:rPr>
        <w:t xml:space="preserve">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after="180" w:line="480" w:lineRule="auto"/>
        <w:jc w:val="both"/>
      </w:pPr>
      <w:r>
        <w:rPr>
          <w:rFonts w:ascii="Georgia" w:hAnsi="Georgia" w:cs="Georgia"/>
          <w:b/>
          <w:i w:val="0"/>
          <w:color w:val="14171C"/>
          <w:sz w:val="24"/>
        </w:rPr>
        <w:t>Survivorship shapes the samples.</w:t>
      </w:r>
      <w:r>
        <w:rPr>
          <w:rFonts w:ascii="Georgia" w:hAnsi="Georgia" w:cs="Georgia"/>
          <w:b w:val="0"/>
          <w:i w:val="0"/>
          <w:color w:val="14171C"/>
          <w:sz w:val="24"/>
        </w:rPr>
        <w:t xml:space="preserve"> Firms that internationalized and failed exit before they can be observed. Stage 3 is therefore estimated from firms that survived their own over-expansion, which biases the estimate of what over-expansion costs — toward optimism.</w:t>
      </w:r>
    </w:p>
    <w:p>
      <w:pPr>
        <w:spacing w:after="180" w:line="480" w:lineRule="auto"/>
        <w:jc w:val="both"/>
      </w:pPr>
      <w:r>
        <w:rPr>
          <w:rFonts w:ascii="Georgia" w:hAnsi="Georgia" w:cs="Georgia"/>
          <w:b/>
          <w:i w:val="0"/>
          <w:color w:val="14171C"/>
          <w:sz w:val="24"/>
        </w:rPr>
        <w:t>Endogeneity is not resolved.</w:t>
      </w:r>
      <w:r>
        <w:rPr>
          <w:rFonts w:ascii="Georgia" w:hAnsi="Georgia" w:cs="Georgia"/>
          <w:b w:val="0"/>
          <w:i w:val="0"/>
          <w:color w:val="14171C"/>
          <w:sz w:val="24"/>
        </w:rPr>
        <w:t xml:space="preserve"> Profitable firms have the slack to internationalize. Any measured association between multinationality and performance carries an unknown share of reverse causation, and none of these designs fully separates the two.</w:t>
      </w:r>
    </w:p>
    <w:p>
      <w:pPr>
        <w:spacing w:after="180" w:line="480" w:lineRule="auto"/>
        <w:jc w:val="both"/>
      </w:pPr>
      <w:r>
        <w:rPr>
          <w:rFonts w:ascii="Georgia" w:hAnsi="Georgia" w:cs="Georgia"/>
          <w:b/>
          <w:i w:val="0"/>
          <w:color w:val="14171C"/>
          <w:sz w:val="24"/>
        </w:rPr>
        <w:t>Each study is bounded in ways that limit generalisation.</w:t>
      </w:r>
      <w:r>
        <w:rPr>
          <w:rFonts w:ascii="Georgia" w:hAnsi="Georgia" w:cs="Georgia"/>
          <w:b w:val="0"/>
          <w:i w:val="0"/>
          <w:color w:val="14171C"/>
          <w:sz w:val="24"/>
        </w:rPr>
        <w:t xml:space="preserve"> Contractor's sample is service-sector firms in a particular period. Mezias's is three home countries in one host country. Ghemawat's evidence is illustrative cases rather than systematic testing — CAGE is a framework offered for its usefulness, not a tested model. Arregle synthesises a literature whose primary studies carry all of the above.</w:t>
      </w:r>
    </w:p>
    <w:p>
      <w:pPr>
        <w:spacing w:after="180" w:line="480" w:lineRule="auto"/>
        <w:jc w:val="both"/>
      </w:pPr>
      <w:r>
        <w:rPr>
          <w:rFonts w:ascii="Georgia" w:hAnsi="Georgia" w:cs="Georgia"/>
          <w:b/>
          <w:i w:val="0"/>
          <w:color w:val="14171C"/>
          <w:sz w:val="24"/>
        </w:rPr>
        <w:t>The strongest limitation is the one the module states about itself.</w:t>
      </w:r>
      <w:r>
        <w:rPr>
          <w:rFonts w:ascii="Georgia" w:hAnsi="Georgia" w:cs="Georgia"/>
          <w:b w:val="0"/>
          <w:i w:val="0"/>
          <w:color w:val="14171C"/>
          <w:sz w:val="24"/>
        </w:rPr>
        <w:t xml:space="preserve"> Arregle's finding is that after 220 studies the results remain incompatible. If measurement heterogeneity explains the disagreement, then the field's problem is methodological rather than theoretical — and adding studies without resolving the measurement question will not converge the literature.</w:t>
      </w:r>
    </w:p>
    <w:p>
      <w:pPr>
        <w:spacing w:before="320" w:after="80"/>
      </w:pPr>
      <w:r>
        <w:rPr>
          <w:rFonts w:ascii="Georgia" w:hAnsi="Georgia" w:cs="Georgia"/>
          <w:b/>
          <w:i w:val="0"/>
          <w:color w:val="1F4E79"/>
          <w:sz w:val="25"/>
        </w:rPr>
        <w:t>4 · Connections</w:t>
      </w:r>
    </w:p>
    <w:p>
      <w:pPr>
        <w:spacing w:after="180" w:line="480" w:lineRule="auto"/>
        <w:jc w:val="both"/>
      </w:pPr>
      <w:r>
        <w:rPr>
          <w:rFonts w:ascii="Georgia" w:hAnsi="Georgia" w:cs="Georgia"/>
          <w:b/>
          <w:i w:val="0"/>
          <w:color w:val="14171C"/>
          <w:sz w:val="24"/>
        </w:rPr>
        <w:t>Forward, to entry mode choice.</w:t>
      </w:r>
      <w:r>
        <w:rPr>
          <w:rFonts w:ascii="Georgia" w:hAnsi="Georgia" w:cs="Georgia"/>
          <w:b w:val="0"/>
          <w:i w:val="0"/>
          <w:color w:val="14171C"/>
          <w:sz w:val="24"/>
        </w:rPr>
        <w:t xml:space="preserv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after="180" w:line="480" w:lineRule="auto"/>
        <w:jc w:val="both"/>
      </w:pPr>
      <w:r>
        <w:rPr>
          <w:rFonts w:ascii="Georgia" w:hAnsi="Georgia" w:cs="Georgia"/>
          <w:b/>
          <w:i w:val="0"/>
          <w:color w:val="14171C"/>
          <w:sz w:val="24"/>
        </w:rPr>
        <w:t>Forward, to institutions, culture and local adaptation.</w:t>
      </w:r>
      <w:r>
        <w:rPr>
          <w:rFonts w:ascii="Georgia" w:hAnsi="Georgia" w:cs="Georgia"/>
          <w:b w:val="0"/>
          <w:i w:val="0"/>
          <w:color w:val="14171C"/>
          <w:sz w:val="24"/>
        </w:rPr>
        <w:t xml:space="preserve"> Ghemawat's CAGE is a pre-Hofstede, pre-GLOBE way of saying what that session says with formal cultural and institutional distance measures. Reading them in sequence shows a construct being progressively formalised — and raises the question of whether formalisation improved the measurement or merely made it look more precise.</w:t>
      </w:r>
    </w:p>
    <w:p>
      <w:pPr>
        <w:spacing w:after="180" w:line="480" w:lineRule="auto"/>
        <w:jc w:val="both"/>
      </w:pPr>
      <w:r>
        <w:rPr>
          <w:rFonts w:ascii="Georgia" w:hAnsi="Georgia" w:cs="Georgia"/>
          <w:b/>
          <w:i w:val="0"/>
          <w:color w:val="14171C"/>
          <w:sz w:val="24"/>
        </w:rPr>
        <w:t>Back, to the foundations session.</w:t>
      </w:r>
      <w:r>
        <w:rPr>
          <w:rFonts w:ascii="Georgia" w:hAnsi="Georgia" w:cs="Georgia"/>
          <w:b w:val="0"/>
          <w:i w:val="0"/>
          <w:color w:val="14171C"/>
          <w:sz w:val="24"/>
        </w:rPr>
        <w:t xml:space="preserve"> Rugman and Verbeke's firm-specific advantages are what carry a firm through Stage 1 at all. Without them there is no mechanism by which the curve ever turns positive, and the sigmoid becomes a description rather than an explanation.</w:t>
      </w:r>
    </w:p>
    <w:p>
      <w:pPr>
        <w:spacing w:after="180" w:line="480" w:lineRule="auto"/>
        <w:jc w:val="both"/>
      </w:pPr>
      <w:r>
        <w:rPr>
          <w:rFonts w:ascii="Georgia" w:hAnsi="Georgia" w:cs="Georgia"/>
          <w:b/>
          <w:i w:val="0"/>
          <w:color w:val="14171C"/>
          <w:sz w:val="24"/>
        </w:rPr>
        <w:t>Across the module.</w:t>
      </w:r>
      <w:r>
        <w:rPr>
          <w:rFonts w:ascii="Georgia" w:hAnsi="Georgia" w:cs="Georgia"/>
          <w:b w:val="0"/>
          <w:i w:val="0"/>
          <w:color w:val="14171C"/>
          <w:sz w:val="24"/>
        </w:rPr>
        <w:t xml:space="preserve"> Sumit K. Kundu of FIU is an author on both Contractor (2003) and Arregle (2021) — the same performance question, eighteen years apart, still unresolved. That continuity is worth naming: it is not that the question was abandoned, it is that it resisted.</w:t>
      </w:r>
    </w:p>
    <w:p>
      <w:pPr>
        <w:spacing w:after="180" w:line="480" w:lineRule="auto"/>
        <w:jc w:val="both"/>
      </w:pPr>
      <w:r>
        <w:rPr>
          <w:rFonts w:ascii="Georgia" w:hAnsi="Georgia" w:cs="Georgia"/>
          <w:b/>
          <w:i w:val="0"/>
          <w:color w:val="14171C"/>
          <w:sz w:val="24"/>
        </w:rPr>
        <w:t>To my own work.</w:t>
      </w:r>
      <w:r>
        <w:rPr>
          <w:rFonts w:ascii="Georgia" w:hAnsi="Georgia" w:cs="Georgia"/>
          <w:b w:val="0"/>
          <w:i w:val="0"/>
          <w:color w:val="14171C"/>
          <w:sz w:val="24"/>
        </w:rPr>
        <w:t xml:space="preserve">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 and a construct that cannot be reached at the scale its instrument requires may be telling me something about the construct, not only about the panel. Contractor's diagnosis and my own are the same diagnosis at different scales.</w:t>
      </w:r>
    </w:p>
    <w:p>
      <w:pPr>
        <w:spacing w:before="320" w:after="80"/>
      </w:pPr>
      <w:r>
        <w:rPr>
          <w:rFonts w:ascii="Georgia" w:hAnsi="Georgia" w:cs="Georgia"/>
          <w:b/>
          <w:i w:val="0"/>
          <w:color w:val="1F4E79"/>
          <w:sz w:val="25"/>
        </w:rPr>
        <w:t>5 · What follows for research design</w:t>
      </w:r>
    </w:p>
    <w:p>
      <w:pPr>
        <w:spacing w:after="180" w:line="480" w:lineRule="auto"/>
        <w:jc w:val="both"/>
      </w:pPr>
      <w:r>
        <w:rPr>
          <w:rFonts w:ascii="Georgia" w:hAnsi="Georgia" w:cs="Georgia"/>
          <w:b w:val="0"/>
          <w:i w:val="0"/>
          <w:color w:val="14171C"/>
          <w:sz w:val="24"/>
        </w:rPr>
        <w:t>The four papers converge on a claim about method that is worth stating separately from the substantive findings, because it is the part that transfers.</w:t>
      </w:r>
    </w:p>
    <w:p>
      <w:pPr>
        <w:spacing w:after="180" w:line="480" w:lineRule="auto"/>
        <w:jc w:val="both"/>
      </w:pPr>
      <w:r>
        <w:rPr>
          <w:rFonts w:ascii="Georgia" w:hAnsi="Georgia" w:cs="Georgia"/>
          <w:b/>
          <w:i w:val="0"/>
          <w:color w:val="14171C"/>
          <w:sz w:val="24"/>
        </w:rPr>
        <w:t>Measurement choice is a theoretical act.</w:t>
      </w:r>
      <w:r>
        <w:rPr>
          <w:rFonts w:ascii="Georgia" w:hAnsi="Georgia" w:cs="Georgia"/>
          <w:b w:val="0"/>
          <w:i w:val="0"/>
          <w:color w:val="14171C"/>
          <w:sz w:val="24"/>
        </w:rPr>
        <w:t xml:space="preserve"> Mezias is the clearest demonstration. He does not improve the measurement of firm performance; he abandons it for a measure selected to isolate one construct rather than to summarise many. The finding exists only because of that choice. A study that had used better performance data would have produced a better version of the same uninterpretable number.</w:t>
      </w:r>
    </w:p>
    <w:p>
      <w:pPr>
        <w:spacing w:after="180" w:line="480" w:lineRule="auto"/>
        <w:jc w:val="both"/>
      </w:pPr>
      <w:r>
        <w:rPr>
          <w:rFonts w:ascii="Georgia" w:hAnsi="Georgia" w:cs="Georgia"/>
          <w:b/>
          <w:i w:val="0"/>
          <w:color w:val="14171C"/>
          <w:sz w:val="24"/>
        </w:rPr>
        <w:t>Operationalisation determines the visible shape of a relationship.</w:t>
      </w:r>
      <w:r>
        <w:rPr>
          <w:rFonts w:ascii="Georgia" w:hAnsi="Georgia" w:cs="Georgia"/>
          <w:b w:val="0"/>
          <w:i w:val="0"/>
          <w:color w:val="14171C"/>
          <w:sz w:val="24"/>
        </w:rPr>
        <w:t xml:space="preserve"> "Degree of internationalization" appears in this literature as foreign sales ratio, foreign assets ratio, country count, entropy measures, and the transnationality index. Contractor's contribution is not only that the relationship is sigmoid but that the field's disagreement about its shape was, in part, a disagreement about where each study happened to sample. Neither of those is a substantive finding about firms.</w:t>
      </w:r>
    </w:p>
    <w:p>
      <w:pPr>
        <w:spacing w:after="180" w:line="480" w:lineRule="auto"/>
        <w:jc w:val="both"/>
      </w:pPr>
      <w:r>
        <w:rPr>
          <w:rFonts w:ascii="Georgia" w:hAnsi="Georgia" w:cs="Georgia"/>
          <w:b/>
          <w:i w:val="0"/>
          <w:color w:val="14171C"/>
          <w:sz w:val="24"/>
        </w:rPr>
        <w:t>Volume does not resolve a measurement problem.</w:t>
      </w:r>
      <w:r>
        <w:rPr>
          <w:rFonts w:ascii="Georgia" w:hAnsi="Georgia" w:cs="Georgia"/>
          <w:b w:val="0"/>
          <w:i w:val="0"/>
          <w:color w:val="14171C"/>
          <w:sz w:val="24"/>
        </w:rPr>
        <w:t xml:space="preserve"> Arregle's review makes this unusually concrete: 220 studies over three decades, and the authors' own summary is that findings remain "varied and at times incompatible." If accumulation were sufficient, thirty years would have been enough.</w:t>
      </w:r>
    </w:p>
    <w:p>
      <w:pPr>
        <w:spacing w:after="180" w:line="480" w:lineRule="auto"/>
        <w:jc w:val="both"/>
      </w:pPr>
      <w:r>
        <w:rPr>
          <w:rFonts w:ascii="Georgia" w:hAnsi="Georgia" w:cs="Georgia"/>
          <w:b/>
          <w:i w:val="0"/>
          <w:color w:val="14171C"/>
          <w:sz w:val="24"/>
        </w:rPr>
        <w:t>A framework can be useful without being a measure.</w:t>
      </w:r>
      <w:r>
        <w:rPr>
          <w:rFonts w:ascii="Georgia" w:hAnsi="Georgia" w:cs="Georgia"/>
          <w:b w:val="0"/>
          <w:i w:val="0"/>
          <w:color w:val="14171C"/>
          <w:sz w:val="24"/>
        </w:rPr>
        <w:t xml:space="preserve"> Ghemawat's CAGE is not tested in the article; it is offered because it decomposes something practitioners were treating as a single term. Its durability suggests that naming the parts of a construct can be a contribution in itself — but it also means CAGE inherits the measurement problem rather than solving it. How much cultural distance, measured how, remains open.</w:t>
      </w:r>
    </w:p>
    <w:p>
      <w:pPr>
        <w:spacing w:after="180" w:line="480" w:lineRule="auto"/>
        <w:jc w:val="both"/>
      </w:pPr>
      <w:r>
        <w:rPr>
          <w:rFonts w:ascii="Georgia" w:hAnsi="Georgia" w:cs="Georgia"/>
          <w:b/>
          <w:i w:val="0"/>
          <w:color w:val="14171C"/>
          <w:sz w:val="24"/>
        </w:rPr>
        <w:t>The through-line, stated as a design rule.</w:t>
      </w:r>
      <w:r>
        <w:rPr>
          <w:rFonts w:ascii="Georgia" w:hAnsi="Georgia" w:cs="Georgia"/>
          <w:b w:val="0"/>
          <w:i w:val="0"/>
          <w:color w:val="14171C"/>
          <w:sz w:val="24"/>
        </w:rPr>
        <w:t xml:space="preserve"> Before asking whether a relationship holds, ask what the available measure can and cannot isolate. Every one of these four papers made progress at the point where someone stopped collecting more of the same thing and changed what was being measured.</w:t>
      </w:r>
    </w:p>
    <w:p>
      <w:pPr>
        <w:spacing w:before="320" w:after="80"/>
      </w:pPr>
      <w:r>
        <w:rPr>
          <w:rFonts w:ascii="Georgia" w:hAnsi="Georgia" w:cs="Georgia"/>
          <w:b/>
          <w:i w:val="0"/>
          <w:color w:val="1F4E79"/>
          <w:sz w:val="25"/>
        </w:rPr>
        <w:t>6 · Limitations of this reading</w:t>
      </w:r>
    </w:p>
    <w:p>
      <w:pPr>
        <w:spacing w:after="180" w:line="480" w:lineRule="auto"/>
        <w:jc w:val="both"/>
      </w:pPr>
      <w:r>
        <w:rPr>
          <w:rFonts w:ascii="Georgia" w:hAnsi="Georgia" w:cs="Georgia"/>
          <w:b w:val="0"/>
          <w:i w:val="0"/>
          <w:color w:val="14171C"/>
          <w:sz w:val="24"/>
        </w:rPr>
        <w:t>This write-up argues that four papers share one diagnosis. That framing is mine, and it has costs worth naming.</w:t>
      </w:r>
    </w:p>
    <w:p>
      <w:pPr>
        <w:spacing w:after="180" w:line="480" w:lineRule="auto"/>
        <w:jc w:val="both"/>
      </w:pPr>
      <w:r>
        <w:rPr>
          <w:rFonts w:ascii="Georgia" w:hAnsi="Georgia" w:cs="Georgia"/>
          <w:b w:val="0"/>
          <w:i w:val="0"/>
          <w:color w:val="14171C"/>
          <w:sz w:val="24"/>
        </w:rPr>
        <w:t>It flattens genuine differences in purpose. Contractor and Mezias are empirical papers testing specific claims; Ghemawat is a practitioner framework; Arregle is a systematic review. Treating them as four instances of one problem risks implying they were attempting the same thing.</w:t>
      </w:r>
    </w:p>
    <w:p>
      <w:pPr>
        <w:spacing w:after="180" w:line="480" w:lineRule="auto"/>
        <w:jc w:val="both"/>
      </w:pPr>
      <w:r>
        <w:rPr>
          <w:rFonts w:ascii="Georgia" w:hAnsi="Georgia" w:cs="Georgia"/>
          <w:b w:val="0"/>
          <w:i w:val="0"/>
          <w:color w:val="14171C"/>
          <w:sz w:val="24"/>
        </w:rPr>
        <w:t>It is also, by construction, unfalsifiable in the form stated. "The field measured the wrong thing" can be said of almost any literature that has not yet converged. The reading only earns its keep where the papers say so themselves — which they do here, in Contractor's account of sampling segments, in Mezias's justification for abandoning performance measures, and in Arregle's own summary of incompatible findings. Where the papers do not say it, I have not claimed it.</w:t>
      </w:r>
    </w:p>
    <w:p>
      <w:pPr>
        <w:spacing w:before="320" w:after="100"/>
      </w:pPr>
      <w:r>
        <w:rPr>
          <w:rFonts w:ascii="Georgia" w:hAnsi="Georgia" w:cs="Georgia"/>
          <w:b/>
          <w:i w:val="0"/>
          <w:color w:val="1F4E79"/>
          <w:sz w:val="25"/>
        </w:rPr>
        <w:t>Appendix A · Comparison of the four studies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Georgia" w:hAnsi="Georgia" w:cs="Georgia"/>
                <w:b/>
                <w:i w:val="0"/>
                <w:color w:val="1F4E79"/>
                <w:sz w:val="17"/>
              </w:rPr>
            </w:r>
          </w:p>
        </w:tc>
        <w:tc>
          <w:tcPr>
            <w:tcW w:type="dxa" w:w="1872"/>
          </w:tcPr>
          <w:p>
            <w:pPr>
              <w:spacing w:after="40" w:line="240" w:lineRule="auto"/>
            </w:pPr>
            <w:r>
              <w:rPr>
                <w:rFonts w:ascii="Georgia" w:hAnsi="Georgia" w:cs="Georgia"/>
                <w:b/>
                <w:i w:val="0"/>
                <w:color w:val="1F4E79"/>
                <w:sz w:val="17"/>
              </w:rPr>
              <w:t>Contractor et al. (2003)</w:t>
            </w:r>
          </w:p>
        </w:tc>
        <w:tc>
          <w:tcPr>
            <w:tcW w:type="dxa" w:w="1872"/>
          </w:tcPr>
          <w:p>
            <w:pPr>
              <w:spacing w:after="40" w:line="240" w:lineRule="auto"/>
            </w:pPr>
            <w:r>
              <w:rPr>
                <w:rFonts w:ascii="Georgia" w:hAnsi="Georgia" w:cs="Georgia"/>
                <w:b/>
                <w:i w:val="0"/>
                <w:color w:val="1F4E79"/>
                <w:sz w:val="17"/>
              </w:rPr>
              <w:t>Mezias (2002)</w:t>
            </w:r>
          </w:p>
        </w:tc>
        <w:tc>
          <w:tcPr>
            <w:tcW w:type="dxa" w:w="1872"/>
          </w:tcPr>
          <w:p>
            <w:pPr>
              <w:spacing w:after="40" w:line="240" w:lineRule="auto"/>
            </w:pPr>
            <w:r>
              <w:rPr>
                <w:rFonts w:ascii="Georgia" w:hAnsi="Georgia" w:cs="Georgia"/>
                <w:b/>
                <w:i w:val="0"/>
                <w:color w:val="1F4E79"/>
                <w:sz w:val="17"/>
              </w:rPr>
              <w:t>Ghemawat (2001)</w:t>
            </w:r>
          </w:p>
        </w:tc>
        <w:tc>
          <w:tcPr>
            <w:tcW w:type="dxa" w:w="1872"/>
          </w:tcPr>
          <w:p>
            <w:pPr>
              <w:spacing w:after="40" w:line="240" w:lineRule="auto"/>
            </w:pPr>
            <w:r>
              <w:rPr>
                <w:rFonts w:ascii="Georgia" w:hAnsi="Georgia" w:cs="Georgia"/>
                <w:b/>
                <w:i w:val="0"/>
                <w:color w:val="1F4E79"/>
                <w:sz w:val="17"/>
              </w:rPr>
              <w:t>Arregle et al. (2021)</w:t>
            </w:r>
          </w:p>
        </w:tc>
      </w:tr>
      <w:tr>
        <w:tc>
          <w:tcPr>
            <w:tcW w:type="dxa" w:w="1872"/>
          </w:tcPr>
          <w:p>
            <w:pPr>
              <w:spacing w:after="40" w:line="240" w:lineRule="auto"/>
            </w:pPr>
            <w:r>
              <w:rPr>
                <w:rFonts w:ascii="Georgia" w:hAnsi="Georgia" w:cs="Georgia"/>
                <w:b/>
                <w:i w:val="0"/>
                <w:color w:val="14171C"/>
                <w:sz w:val="17"/>
              </w:rPr>
              <w:t>Type</w:t>
            </w:r>
          </w:p>
        </w:tc>
        <w:tc>
          <w:tcPr>
            <w:tcW w:type="dxa" w:w="1872"/>
          </w:tcPr>
          <w:p>
            <w:pPr>
              <w:spacing w:after="40" w:line="240" w:lineRule="auto"/>
            </w:pPr>
            <w:r>
              <w:rPr>
                <w:rFonts w:ascii="Georgia" w:hAnsi="Georgia" w:cs="Georgia"/>
                <w:b w:val="0"/>
                <w:i w:val="0"/>
                <w:color w:val="14171C"/>
                <w:sz w:val="17"/>
              </w:rPr>
              <w:t>Empirical, theory-building</w:t>
            </w:r>
          </w:p>
        </w:tc>
        <w:tc>
          <w:tcPr>
            <w:tcW w:type="dxa" w:w="1872"/>
          </w:tcPr>
          <w:p>
            <w:pPr>
              <w:spacing w:after="40" w:line="240" w:lineRule="auto"/>
            </w:pPr>
            <w:r>
              <w:rPr>
                <w:rFonts w:ascii="Georgia" w:hAnsi="Georgia" w:cs="Georgia"/>
                <w:b w:val="0"/>
                <w:i w:val="0"/>
                <w:color w:val="14171C"/>
                <w:sz w:val="17"/>
              </w:rPr>
              <w:t>Empirical, matched-pair</w:t>
            </w:r>
          </w:p>
        </w:tc>
        <w:tc>
          <w:tcPr>
            <w:tcW w:type="dxa" w:w="1872"/>
          </w:tcPr>
          <w:p>
            <w:pPr>
              <w:spacing w:after="40" w:line="240" w:lineRule="auto"/>
            </w:pPr>
            <w:r>
              <w:rPr>
                <w:rFonts w:ascii="Georgia" w:hAnsi="Georgia" w:cs="Georgia"/>
                <w:b w:val="0"/>
                <w:i w:val="0"/>
                <w:color w:val="14171C"/>
                <w:sz w:val="17"/>
              </w:rPr>
              <w:t>Practitioner framework</w:t>
            </w:r>
          </w:p>
        </w:tc>
        <w:tc>
          <w:tcPr>
            <w:tcW w:type="dxa" w:w="1872"/>
          </w:tcPr>
          <w:p>
            <w:pPr>
              <w:spacing w:after="40" w:line="240" w:lineRule="auto"/>
            </w:pPr>
            <w:r>
              <w:rPr>
                <w:rFonts w:ascii="Georgia" w:hAnsi="Georgia" w:cs="Georgia"/>
                <w:b w:val="0"/>
                <w:i w:val="0"/>
                <w:color w:val="14171C"/>
                <w:sz w:val="17"/>
              </w:rPr>
              <w:t>Systematic review</w:t>
            </w:r>
          </w:p>
        </w:tc>
      </w:tr>
      <w:tr>
        <w:tc>
          <w:tcPr>
            <w:tcW w:type="dxa" w:w="1872"/>
          </w:tcPr>
          <w:p>
            <w:pPr>
              <w:spacing w:after="40" w:line="240" w:lineRule="auto"/>
            </w:pPr>
            <w:r>
              <w:rPr>
                <w:rFonts w:ascii="Georgia" w:hAnsi="Georgia" w:cs="Georgia"/>
                <w:b/>
                <w:i w:val="0"/>
                <w:color w:val="14171C"/>
                <w:sz w:val="17"/>
              </w:rPr>
              <w:t>Sample</w:t>
            </w:r>
          </w:p>
        </w:tc>
        <w:tc>
          <w:tcPr>
            <w:tcW w:type="dxa" w:w="1872"/>
          </w:tcPr>
          <w:p>
            <w:pPr>
              <w:spacing w:after="40" w:line="240" w:lineRule="auto"/>
            </w:pPr>
            <w:r>
              <w:rPr>
                <w:rFonts w:ascii="Georgia" w:hAnsi="Georgia" w:cs="Georgia"/>
                <w:b w:val="0"/>
                <w:i w:val="0"/>
                <w:color w:val="14171C"/>
                <w:sz w:val="17"/>
              </w:rPr>
              <w:t>US service-sector MNEs</w:t>
            </w:r>
          </w:p>
        </w:tc>
        <w:tc>
          <w:tcPr>
            <w:tcW w:type="dxa" w:w="1872"/>
          </w:tcPr>
          <w:p>
            <w:pPr>
              <w:spacing w:after="40" w:line="240" w:lineRule="auto"/>
            </w:pPr>
            <w:r>
              <w:rPr>
                <w:rFonts w:ascii="Georgia" w:hAnsi="Georgia" w:cs="Georgia"/>
                <w:b w:val="0"/>
                <w:i w:val="0"/>
                <w:color w:val="14171C"/>
                <w:sz w:val="17"/>
              </w:rPr>
              <w:t>486 foreign + 486 US firms</w:t>
            </w:r>
          </w:p>
        </w:tc>
        <w:tc>
          <w:tcPr>
            <w:tcW w:type="dxa" w:w="1872"/>
          </w:tcPr>
          <w:p>
            <w:pPr>
              <w:spacing w:after="40" w:line="240" w:lineRule="auto"/>
            </w:pPr>
            <w:r>
              <w:rPr>
                <w:rFonts w:ascii="Georgia" w:hAnsi="Georgia" w:cs="Georgia"/>
                <w:b w:val="0"/>
                <w:i w:val="0"/>
                <w:color w:val="14171C"/>
                <w:sz w:val="17"/>
              </w:rPr>
              <w:t>Cases, incl. Star TV</w:t>
            </w:r>
          </w:p>
        </w:tc>
        <w:tc>
          <w:tcPr>
            <w:tcW w:type="dxa" w:w="1872"/>
          </w:tcPr>
          <w:p>
            <w:pPr>
              <w:spacing w:after="40" w:line="240" w:lineRule="auto"/>
            </w:pPr>
            <w:r>
              <w:rPr>
                <w:rFonts w:ascii="Georgia" w:hAnsi="Georgia" w:cs="Georgia"/>
                <w:b w:val="0"/>
                <w:i w:val="0"/>
                <w:color w:val="14171C"/>
                <w:sz w:val="17"/>
              </w:rPr>
              <w:t>220 studies, 30 years</w:t>
            </w:r>
          </w:p>
        </w:tc>
      </w:tr>
      <w:tr>
        <w:tc>
          <w:tcPr>
            <w:tcW w:type="dxa" w:w="1872"/>
          </w:tcPr>
          <w:p>
            <w:pPr>
              <w:spacing w:after="40" w:line="240" w:lineRule="auto"/>
            </w:pPr>
            <w:r>
              <w:rPr>
                <w:rFonts w:ascii="Georgia" w:hAnsi="Georgia" w:cs="Georgia"/>
                <w:b/>
                <w:i w:val="0"/>
                <w:color w:val="14171C"/>
                <w:sz w:val="17"/>
              </w:rPr>
              <w:t>Measure</w:t>
            </w:r>
          </w:p>
        </w:tc>
        <w:tc>
          <w:tcPr>
            <w:tcW w:type="dxa" w:w="1872"/>
          </w:tcPr>
          <w:p>
            <w:pPr>
              <w:spacing w:after="40" w:line="240" w:lineRule="auto"/>
            </w:pPr>
            <w:r>
              <w:rPr>
                <w:rFonts w:ascii="Georgia" w:hAnsi="Georgia" w:cs="Georgia"/>
                <w:b w:val="0"/>
                <w:i w:val="0"/>
                <w:color w:val="14171C"/>
                <w:sz w:val="17"/>
              </w:rPr>
              <w:t>Multiple DOI measures</w:t>
            </w:r>
          </w:p>
        </w:tc>
        <w:tc>
          <w:tcPr>
            <w:tcW w:type="dxa" w:w="1872"/>
          </w:tcPr>
          <w:p>
            <w:pPr>
              <w:spacing w:after="40" w:line="240" w:lineRule="auto"/>
            </w:pPr>
            <w:r>
              <w:rPr>
                <w:rFonts w:ascii="Georgia" w:hAnsi="Georgia" w:cs="Georgia"/>
                <w:b w:val="0"/>
                <w:i w:val="0"/>
                <w:color w:val="14171C"/>
                <w:sz w:val="17"/>
              </w:rPr>
              <w:t>Labour lawsuit judgments</w:t>
            </w:r>
          </w:p>
        </w:tc>
        <w:tc>
          <w:tcPr>
            <w:tcW w:type="dxa" w:w="1872"/>
          </w:tcPr>
          <w:p>
            <w:pPr>
              <w:spacing w:after="40" w:line="240" w:lineRule="auto"/>
            </w:pPr>
            <w:r>
              <w:rPr>
                <w:rFonts w:ascii="Georgia" w:hAnsi="Georgia" w:cs="Georgia"/>
                <w:b w:val="0"/>
                <w:i w:val="0"/>
                <w:color w:val="14171C"/>
                <w:sz w:val="17"/>
              </w:rPr>
              <w:t>CAGE distance</w:t>
            </w:r>
          </w:p>
        </w:tc>
        <w:tc>
          <w:tcPr>
            <w:tcW w:type="dxa" w:w="1872"/>
          </w:tcPr>
          <w:p>
            <w:pPr>
              <w:spacing w:after="40" w:line="240" w:lineRule="auto"/>
            </w:pPr>
            <w:r>
              <w:rPr>
                <w:rFonts w:ascii="Georgia" w:hAnsi="Georgia" w:cs="Georgia"/>
                <w:b w:val="0"/>
                <w:i w:val="0"/>
                <w:color w:val="14171C"/>
                <w:sz w:val="17"/>
              </w:rPr>
              <w:t>Synthesis</w:t>
            </w:r>
          </w:p>
        </w:tc>
      </w:tr>
      <w:tr>
        <w:tc>
          <w:tcPr>
            <w:tcW w:type="dxa" w:w="1872"/>
          </w:tcPr>
          <w:p>
            <w:pPr>
              <w:spacing w:after="40" w:line="240" w:lineRule="auto"/>
            </w:pPr>
            <w:r>
              <w:rPr>
                <w:rFonts w:ascii="Georgia" w:hAnsi="Georgia" w:cs="Georgia"/>
                <w:b/>
                <w:i w:val="0"/>
                <w:color w:val="14171C"/>
                <w:sz w:val="17"/>
              </w:rPr>
              <w:t>Claim</w:t>
            </w:r>
          </w:p>
        </w:tc>
        <w:tc>
          <w:tcPr>
            <w:tcW w:type="dxa" w:w="1872"/>
          </w:tcPr>
          <w:p>
            <w:pPr>
              <w:spacing w:after="40" w:line="240" w:lineRule="auto"/>
            </w:pPr>
            <w:r>
              <w:rPr>
                <w:rFonts w:ascii="Georgia" w:hAnsi="Georgia" w:cs="Georgia"/>
                <w:b w:val="0"/>
                <w:i w:val="0"/>
                <w:color w:val="14171C"/>
                <w:sz w:val="17"/>
              </w:rPr>
              <w:t>M–P is sigmoid, three stages</w:t>
            </w:r>
          </w:p>
        </w:tc>
        <w:tc>
          <w:tcPr>
            <w:tcW w:type="dxa" w:w="1872"/>
          </w:tcPr>
          <w:p>
            <w:pPr>
              <w:spacing w:after="40" w:line="240" w:lineRule="auto"/>
            </w:pPr>
            <w:r>
              <w:rPr>
                <w:rFonts w:ascii="Georgia" w:hAnsi="Georgia" w:cs="Georgia"/>
                <w:b w:val="0"/>
                <w:i w:val="0"/>
                <w:color w:val="14171C"/>
                <w:sz w:val="17"/>
              </w:rPr>
              <w:t>LOF is isolable and measurable</w:t>
            </w:r>
          </w:p>
        </w:tc>
        <w:tc>
          <w:tcPr>
            <w:tcW w:type="dxa" w:w="1872"/>
          </w:tcPr>
          <w:p>
            <w:pPr>
              <w:spacing w:after="40" w:line="240" w:lineRule="auto"/>
            </w:pPr>
            <w:r>
              <w:rPr>
                <w:rFonts w:ascii="Georgia" w:hAnsi="Georgia" w:cs="Georgia"/>
                <w:b w:val="0"/>
                <w:i w:val="0"/>
                <w:color w:val="14171C"/>
                <w:sz w:val="17"/>
              </w:rPr>
              <w:t>Distance is four things</w:t>
            </w:r>
          </w:p>
        </w:tc>
        <w:tc>
          <w:tcPr>
            <w:tcW w:type="dxa" w:w="1872"/>
          </w:tcPr>
          <w:p>
            <w:pPr>
              <w:spacing w:after="40" w:line="240" w:lineRule="auto"/>
            </w:pPr>
            <w:r>
              <w:rPr>
                <w:rFonts w:ascii="Georgia" w:hAnsi="Georgia" w:cs="Georgia"/>
                <w:b w:val="0"/>
                <w:i w:val="0"/>
                <w:color w:val="14171C"/>
                <w:sz w:val="17"/>
              </w:rPr>
              <w:t>Findings remain incompatible</w:t>
            </w:r>
          </w:p>
        </w:tc>
      </w:tr>
      <w:tr>
        <w:tc>
          <w:tcPr>
            <w:tcW w:type="dxa" w:w="1872"/>
          </w:tcPr>
          <w:p>
            <w:pPr>
              <w:spacing w:after="40" w:line="240" w:lineRule="auto"/>
            </w:pPr>
            <w:r>
              <w:rPr>
                <w:rFonts w:ascii="Georgia" w:hAnsi="Georgia" w:cs="Georgia"/>
                <w:b/>
                <w:i w:val="0"/>
                <w:color w:val="14171C"/>
                <w:sz w:val="17"/>
              </w:rPr>
              <w:t>Conditioned on</w:t>
            </w:r>
          </w:p>
        </w:tc>
        <w:tc>
          <w:tcPr>
            <w:tcW w:type="dxa" w:w="1872"/>
          </w:tcPr>
          <w:p>
            <w:pPr>
              <w:spacing w:after="40" w:line="240" w:lineRule="auto"/>
            </w:pPr>
            <w:r>
              <w:rPr>
                <w:rFonts w:ascii="Georgia" w:hAnsi="Georgia" w:cs="Georgia"/>
                <w:b w:val="0"/>
                <w:i w:val="0"/>
                <w:color w:val="14171C"/>
                <w:sz w:val="17"/>
              </w:rPr>
              <w:t>Stage position, sector type</w:t>
            </w:r>
          </w:p>
        </w:tc>
        <w:tc>
          <w:tcPr>
            <w:tcW w:type="dxa" w:w="1872"/>
          </w:tcPr>
          <w:p>
            <w:pPr>
              <w:spacing w:after="40" w:line="240" w:lineRule="auto"/>
            </w:pPr>
            <w:r>
              <w:rPr>
                <w:rFonts w:ascii="Georgia" w:hAnsi="Georgia" w:cs="Georgia"/>
                <w:b w:val="0"/>
                <w:i w:val="0"/>
                <w:color w:val="14171C"/>
                <w:sz w:val="17"/>
              </w:rPr>
              <w:t>Staffing, autonomy, age</w:t>
            </w:r>
          </w:p>
        </w:tc>
        <w:tc>
          <w:tcPr>
            <w:tcW w:type="dxa" w:w="1872"/>
          </w:tcPr>
          <w:p>
            <w:pPr>
              <w:spacing w:after="40" w:line="240" w:lineRule="auto"/>
            </w:pPr>
            <w:r>
              <w:rPr>
                <w:rFonts w:ascii="Georgia" w:hAnsi="Georgia" w:cs="Georgia"/>
                <w:b w:val="0"/>
                <w:i w:val="0"/>
                <w:color w:val="14171C"/>
                <w:sz w:val="17"/>
              </w:rPr>
              <w:t>Distance type</w:t>
            </w:r>
          </w:p>
        </w:tc>
        <w:tc>
          <w:tcPr>
            <w:tcW w:type="dxa" w:w="1872"/>
          </w:tcPr>
          <w:p>
            <w:pPr>
              <w:spacing w:after="40" w:line="240" w:lineRule="auto"/>
            </w:pPr>
            <w:r>
              <w:rPr>
                <w:rFonts w:ascii="Georgia" w:hAnsi="Georgia" w:cs="Georgia"/>
                <w:b w:val="0"/>
                <w:i w:val="0"/>
                <w:color w:val="14171C"/>
                <w:sz w:val="17"/>
              </w:rPr>
              <w:t>Family ownership</w:t>
            </w:r>
          </w:p>
        </w:tc>
      </w:tr>
    </w:tbl>
    <w:p>
      <w:pPr>
        <w:spacing w:before="320" w:after="100"/>
      </w:pPr>
      <w:r>
        <w:rPr>
          <w:rFonts w:ascii="Georgia" w:hAnsi="Georgia" w:cs="Georgia"/>
          <w:b/>
          <w:i w:val="0"/>
          <w:color w:val="1F4E79"/>
          <w:sz w:val="25"/>
        </w:rPr>
        <w:t>Appendix B · Verification of quoted material</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Georgia" w:hAnsi="Georgia" w:cs="Georgia"/>
                <w:b/>
                <w:i w:val="0"/>
                <w:color w:val="1F4E79"/>
                <w:sz w:val="17"/>
              </w:rPr>
              <w:t>Claim</w:t>
            </w:r>
          </w:p>
        </w:tc>
        <w:tc>
          <w:tcPr>
            <w:tcW w:type="dxa" w:w="3120"/>
          </w:tcPr>
          <w:p>
            <w:pPr>
              <w:spacing w:after="40" w:line="240" w:lineRule="auto"/>
            </w:pPr>
            <w:r>
              <w:rPr>
                <w:rFonts w:ascii="Georgia" w:hAnsi="Georgia" w:cs="Georgia"/>
                <w:b/>
                <w:i w:val="0"/>
                <w:color w:val="1F4E79"/>
                <w:sz w:val="17"/>
              </w:rPr>
              <w:t>Source</w:t>
            </w:r>
          </w:p>
        </w:tc>
        <w:tc>
          <w:tcPr>
            <w:tcW w:type="dxa" w:w="3120"/>
          </w:tcPr>
          <w:p>
            <w:pPr>
              <w:spacing w:after="40" w:line="240" w:lineRule="auto"/>
            </w:pPr>
            <w:r>
              <w:rPr>
                <w:rFonts w:ascii="Georgia" w:hAnsi="Georgia" w:cs="Georgia"/>
                <w:b/>
                <w:i w:val="0"/>
                <w:color w:val="1F4E79"/>
                <w:sz w:val="17"/>
              </w:rPr>
              <w:t>Page</w:t>
            </w:r>
          </w:p>
        </w:tc>
      </w:tr>
      <w:tr>
        <w:tc>
          <w:tcPr>
            <w:tcW w:type="dxa" w:w="3120"/>
          </w:tcPr>
          <w:p>
            <w:pPr>
              <w:spacing w:after="40" w:line="240" w:lineRule="auto"/>
            </w:pPr>
            <w:r>
              <w:rPr>
                <w:rFonts w:ascii="Georgia" w:hAnsi="Georgia" w:cs="Georgia"/>
                <w:b/>
                <w:i w:val="0"/>
                <w:color w:val="14171C"/>
                <w:sz w:val="17"/>
              </w:rPr>
              <w:t>"Depending on which part of Figure 1 we examined…"</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7</w:t>
            </w:r>
          </w:p>
        </w:tc>
      </w:tr>
      <w:tr>
        <w:tc>
          <w:tcPr>
            <w:tcW w:type="dxa" w:w="3120"/>
          </w:tcPr>
          <w:p>
            <w:pPr>
              <w:spacing w:after="40" w:line="240" w:lineRule="auto"/>
            </w:pPr>
            <w:r>
              <w:rPr>
                <w:rFonts w:ascii="Georgia" w:hAnsi="Georgia" w:cs="Georgia"/>
                <w:b/>
                <w:i w:val="0"/>
                <w:color w:val="14171C"/>
                <w:sz w:val="17"/>
              </w:rPr>
              <w:t>"Few companies possess the managerial tools…"</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11</w:t>
            </w:r>
          </w:p>
        </w:tc>
      </w:tr>
      <w:tr>
        <w:tc>
          <w:tcPr>
            <w:tcW w:type="dxa" w:w="3120"/>
          </w:tcPr>
          <w:p>
            <w:pPr>
              <w:spacing w:after="40" w:line="240" w:lineRule="auto"/>
            </w:pPr>
            <w:r>
              <w:rPr>
                <w:rFonts w:ascii="Georgia" w:hAnsi="Georgia" w:cs="Georgia"/>
                <w:b/>
                <w:i w:val="0"/>
                <w:color w:val="14171C"/>
                <w:sz w:val="17"/>
              </w:rPr>
              <w:t>Knowledge-based vs capital-intensive; lower fixed capital burden</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9</w:t>
            </w:r>
          </w:p>
        </w:tc>
      </w:tr>
      <w:tr>
        <w:tc>
          <w:tcPr>
            <w:tcW w:type="dxa" w:w="3120"/>
          </w:tcPr>
          <w:p>
            <w:pPr>
              <w:spacing w:after="40" w:line="240" w:lineRule="auto"/>
            </w:pPr>
            <w:r>
              <w:rPr>
                <w:rFonts w:ascii="Georgia" w:hAnsi="Georgia" w:cs="Georgia"/>
                <w:b/>
                <w:i w:val="0"/>
                <w:color w:val="14171C"/>
                <w:sz w:val="17"/>
              </w:rPr>
              <w:t>"While most performance measures aggregate advantages and disadvantages…"</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231</w:t>
            </w:r>
          </w:p>
        </w:tc>
      </w:tr>
      <w:tr>
        <w:tc>
          <w:tcPr>
            <w:tcW w:type="dxa" w:w="3120"/>
          </w:tcPr>
          <w:p>
            <w:pPr>
              <w:spacing w:after="40" w:line="240" w:lineRule="auto"/>
            </w:pPr>
            <w:r>
              <w:rPr>
                <w:rFonts w:ascii="Georgia" w:hAnsi="Georgia" w:cs="Georgia"/>
                <w:b/>
                <w:i w:val="0"/>
                <w:color w:val="14171C"/>
                <w:sz w:val="17"/>
              </w:rPr>
              <w:t>486 foreign subsidiaries vs 486 US firms, same industries and cities</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229–231</w:t>
            </w:r>
          </w:p>
        </w:tc>
      </w:tr>
      <w:tr>
        <w:tc>
          <w:tcPr>
            <w:tcW w:type="dxa" w:w="3120"/>
          </w:tcPr>
          <w:p>
            <w:pPr>
              <w:spacing w:after="40" w:line="240" w:lineRule="auto"/>
            </w:pPr>
            <w:r>
              <w:rPr>
                <w:rFonts w:ascii="Georgia" w:hAnsi="Georgia" w:cs="Georgia"/>
                <w:b/>
                <w:i w:val="0"/>
                <w:color w:val="14171C"/>
                <w:sz w:val="17"/>
              </w:rPr>
              <w:t>78.9% / 70.0% / 58.4%; award exceeded $600,000; fees ~$100,000</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232</w:t>
            </w:r>
          </w:p>
        </w:tc>
      </w:tr>
      <w:tr>
        <w:tc>
          <w:tcPr>
            <w:tcW w:type="dxa" w:w="3120"/>
          </w:tcPr>
          <w:p>
            <w:pPr>
              <w:spacing w:after="40" w:line="240" w:lineRule="auto"/>
            </w:pPr>
            <w:r>
              <w:rPr>
                <w:rFonts w:ascii="Georgia" w:hAnsi="Georgia" w:cs="Georgia"/>
                <w:b/>
                <w:i w:val="0"/>
                <w:color w:val="14171C"/>
                <w:sz w:val="17"/>
              </w:rPr>
              <w:t>"It ignores the costs and risks of doing business in a new market."</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2</w:t>
            </w:r>
          </w:p>
        </w:tc>
      </w:tr>
      <w:tr>
        <w:tc>
          <w:tcPr>
            <w:tcW w:type="dxa" w:w="3120"/>
          </w:tcPr>
          <w:p>
            <w:pPr>
              <w:spacing w:after="40" w:line="240" w:lineRule="auto"/>
            </w:pPr>
            <w:r>
              <w:rPr>
                <w:rFonts w:ascii="Georgia" w:hAnsi="Georgia" w:cs="Georgia"/>
                <w:b/>
                <w:i w:val="0"/>
                <w:color w:val="14171C"/>
                <w:sz w:val="17"/>
              </w:rPr>
              <w:t>$825m paid 1993–95; FY1999 loss $141m on revenue $111m; ~$500m FY1996–99</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2</w:t>
            </w:r>
          </w:p>
        </w:tc>
      </w:tr>
      <w:tr>
        <w:tc>
          <w:tcPr>
            <w:tcW w:type="dxa" w:w="3120"/>
          </w:tcPr>
          <w:p>
            <w:pPr>
              <w:spacing w:after="40" w:line="240" w:lineRule="auto"/>
            </w:pPr>
            <w:r>
              <w:rPr>
                <w:rFonts w:ascii="Georgia" w:hAnsi="Georgia" w:cs="Georgia"/>
                <w:b/>
                <w:i w:val="0"/>
                <w:color w:val="14171C"/>
                <w:sz w:val="17"/>
              </w:rPr>
              <w:t>"Ignoring cultural distance was one of Star TV's biggest mistakes."</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4</w:t>
            </w:r>
          </w:p>
        </w:tc>
      </w:tr>
      <w:tr>
        <w:tc>
          <w:tcPr>
            <w:tcW w:type="dxa" w:w="3120"/>
          </w:tcPr>
          <w:p>
            <w:pPr>
              <w:spacing w:after="40" w:line="240" w:lineRule="auto"/>
            </w:pPr>
            <w:r>
              <w:rPr>
                <w:rFonts w:ascii="Georgia" w:hAnsi="Georgia" w:cs="Georgia"/>
                <w:b/>
                <w:i w:val="0"/>
                <w:color w:val="14171C"/>
                <w:sz w:val="17"/>
              </w:rPr>
              <w:t>"varied and at times incompatible findings"</w:t>
            </w:r>
          </w:p>
        </w:tc>
        <w:tc>
          <w:tcPr>
            <w:tcW w:type="dxa" w:w="3120"/>
          </w:tcPr>
          <w:p>
            <w:pPr>
              <w:spacing w:after="40" w:line="240" w:lineRule="auto"/>
            </w:pPr>
            <w:r>
              <w:rPr>
                <w:rFonts w:ascii="Georgia" w:hAnsi="Georgia" w:cs="Georgia"/>
                <w:b w:val="0"/>
                <w:i w:val="0"/>
                <w:color w:val="14171C"/>
                <w:sz w:val="17"/>
              </w:rPr>
              <w:t>Arregle et al. (2021)</w:t>
            </w:r>
          </w:p>
        </w:tc>
        <w:tc>
          <w:tcPr>
            <w:tcW w:type="dxa" w:w="3120"/>
          </w:tcPr>
          <w:p>
            <w:pPr>
              <w:spacing w:after="40" w:line="240" w:lineRule="auto"/>
            </w:pPr>
            <w:r>
              <w:rPr>
                <w:rFonts w:ascii="Georgia" w:hAnsi="Georgia" w:cs="Georgia"/>
                <w:b w:val="0"/>
                <w:i w:val="0"/>
                <w:color w:val="14171C"/>
                <w:sz w:val="17"/>
              </w:rPr>
              <w:t>abstract</w:t>
            </w:r>
          </w:p>
        </w:tc>
      </w:tr>
      <w:tr>
        <w:tc>
          <w:tcPr>
            <w:tcW w:type="dxa" w:w="3120"/>
          </w:tcPr>
          <w:p>
            <w:pPr>
              <w:spacing w:after="40" w:line="240" w:lineRule="auto"/>
            </w:pPr>
            <w:r>
              <w:rPr>
                <w:rFonts w:ascii="Georgia" w:hAnsi="Georgia" w:cs="Georgia"/>
                <w:b/>
                <w:i w:val="0"/>
                <w:color w:val="14171C"/>
                <w:sz w:val="17"/>
              </w:rPr>
              <w:t>Seven themes with shares; performance 12%</w:t>
            </w:r>
          </w:p>
        </w:tc>
        <w:tc>
          <w:tcPr>
            <w:tcW w:type="dxa" w:w="3120"/>
          </w:tcPr>
          <w:p>
            <w:pPr>
              <w:spacing w:after="40" w:line="240" w:lineRule="auto"/>
            </w:pPr>
            <w:r>
              <w:rPr>
                <w:rFonts w:ascii="Georgia" w:hAnsi="Georgia" w:cs="Georgia"/>
                <w:b w:val="0"/>
                <w:i w:val="0"/>
                <w:color w:val="14171C"/>
                <w:sz w:val="17"/>
              </w:rPr>
              <w:t>Arregle et al. (2021)</w:t>
            </w:r>
          </w:p>
        </w:tc>
        <w:tc>
          <w:tcPr>
            <w:tcW w:type="dxa" w:w="3120"/>
          </w:tcPr>
          <w:p>
            <w:pPr>
              <w:spacing w:after="40" w:line="240" w:lineRule="auto"/>
            </w:pPr>
            <w:r>
              <w:rPr>
                <w:rFonts w:ascii="Georgia" w:hAnsi="Georgia" w:cs="Georgia"/>
                <w:b w:val="0"/>
                <w:i w:val="0"/>
                <w:color w:val="14171C"/>
                <w:sz w:val="17"/>
              </w:rPr>
              <w:t>6</w:t>
            </w:r>
          </w:p>
        </w:tc>
      </w:tr>
    </w:tbl>
    <w:p>
      <w:r>
        <w:br w:type="page"/>
      </w:r>
    </w:p>
    <w:p>
      <w:pPr>
        <w:spacing w:after="160" w:line="480" w:lineRule="auto"/>
        <w:jc w:val="both"/>
      </w:pPr>
      <w:r>
        <w:rPr>
          <w:rFonts w:ascii="Georgia" w:hAnsi="Georgia" w:cs="Georgia"/>
          <w:b w:val="0"/>
          <w:i w:val="0"/>
          <w:color w:val="14171C"/>
          <w:sz w:val="24"/>
        </w:rPr>
        <w:t>*Appendices sit outside the ten-page body, per the assignment brief.*</w:t>
      </w:r>
    </w:p>
    <w:p>
      <w:pPr>
        <w:spacing w:before="280" w:after="80"/>
      </w:pPr>
      <w:r>
        <w:rPr>
          <w:rFonts w:ascii="Georgia" w:hAnsi="Georgia" w:cs="Georgia"/>
          <w:b/>
          <w:i w:val="0"/>
          <w:color w:val="1F4E79"/>
          <w:sz w:val="25"/>
        </w:rPr>
        <w:t>Appendix A · Comparison of the four studies</w:t>
      </w:r>
    </w:p>
    <w:p>
      <w:pPr>
        <w:spacing w:before="280" w:after="80"/>
      </w:pPr>
      <w:r>
        <w:rPr>
          <w:rFonts w:ascii="Georgia" w:hAnsi="Georgia" w:cs="Georgia"/>
          <w:b/>
          <w:i w:val="0"/>
          <w:color w:val="1F4E79"/>
          <w:sz w:val="25"/>
        </w:rPr>
        <w:t>Appendix B · Verification of quoted material</w:t>
      </w:r>
    </w:p>
    <w:p>
      <w:pPr>
        <w:spacing w:after="160" w:line="480" w:lineRule="auto"/>
        <w:jc w:val="both"/>
      </w:pPr>
      <w:r>
        <w:rPr>
          <w:rFonts w:ascii="Georgia" w:hAnsi="Georgia" w:cs="Georgia"/>
          <w:b w:val="0"/>
          <w:i w:val="0"/>
          <w:color w:val="14171C"/>
          <w:sz w:val="24"/>
        </w:rPr>
        <w:t>Every quotation and reported figure in this write-up was checked against the source PDF on 26 August 2026. None is paraphrased and presented as a quotation.</w:t>
      </w:r>
    </w:p>
    <w:p>
      <w:pPr>
        <w:spacing w:before="280" w:after="80"/>
      </w:pPr>
      <w:r>
        <w:rPr>
          <w:rFonts w:ascii="Georgia" w:hAnsi="Georgia" w:cs="Georgia"/>
          <w:b/>
          <w:i w:val="0"/>
          <w:color w:val="1F4E79"/>
          <w:sz w:val="25"/>
        </w:rPr>
        <w:t>Appendix C · References</w:t>
      </w:r>
    </w:p>
    <w:p>
      <w:pPr>
        <w:spacing w:after="160" w:line="480" w:lineRule="auto"/>
        <w:jc w:val="both"/>
      </w:pPr>
      <w:r>
        <w:rPr>
          <w:rFonts w:ascii="Georgia" w:hAnsi="Georgia" w:cs="Georgia"/>
          <w:b w:val="0"/>
          <w:i w:val="0"/>
          <w:color w:val="14171C"/>
          <w:sz w:val="24"/>
        </w:rPr>
        <w:t>Arregle, J.-L., Chirico, F., Kano, L., Kundu, S. K., Majocchi, A., &amp; Schulze, W. S. (2021). Family firm internationalization: Past research and an agenda for the future. *Journal of International Business Studies, 52*, 1159–1198.</w:t>
      </w:r>
    </w:p>
    <w:p>
      <w:pPr>
        <w:spacing w:after="160" w:line="480" w:lineRule="auto"/>
        <w:jc w:val="both"/>
      </w:pPr>
      <w:r>
        <w:rPr>
          <w:rFonts w:ascii="Georgia" w:hAnsi="Georgia" w:cs="Georgia"/>
          <w:b w:val="0"/>
          <w:i w:val="0"/>
          <w:color w:val="14171C"/>
          <w:sz w:val="24"/>
        </w:rPr>
        <w:t>Contractor, F. J., Kundu, S. K., &amp; Hsu, C.-C. (2003). A three-stage theory of international expansion: The link between multinationality and performance in the service sector. *Journal of International Business Studies, 34*(1), 5–18.</w:t>
      </w:r>
    </w:p>
    <w:p>
      <w:pPr>
        <w:spacing w:after="160" w:line="480" w:lineRule="auto"/>
        <w:jc w:val="both"/>
      </w:pPr>
      <w:r>
        <w:rPr>
          <w:rFonts w:ascii="Georgia" w:hAnsi="Georgia" w:cs="Georgia"/>
          <w:b w:val="0"/>
          <w:i w:val="0"/>
          <w:color w:val="14171C"/>
          <w:sz w:val="24"/>
        </w:rPr>
        <w:t>Ghemawat, P. (2001). Distance still matters: The hard reality of global expansion. *Harvard Business Review, 79*(8), 137–147.</w:t>
      </w:r>
    </w:p>
    <w:p>
      <w:pPr>
        <w:spacing w:after="160" w:line="480" w:lineRule="auto"/>
        <w:jc w:val="both"/>
      </w:pPr>
      <w:r>
        <w:rPr>
          <w:rFonts w:ascii="Georgia" w:hAnsi="Georgia" w:cs="Georgia"/>
          <w:b w:val="0"/>
          <w:i w:val="0"/>
          <w:color w:val="14171C"/>
          <w:sz w:val="24"/>
        </w:rPr>
        <w:t>Mezias, J. M. (2002). Identifying liabilities of foreignness and strategies to minimize their effects: The case of labor lawsuit judgments in the United States. *Strategic Management Journal, 23*(3), 229–244.</w:t>
      </w:r>
    </w:p>
    <w:p>
      <w:pPr>
        <w:spacing w:before="280" w:after="80"/>
      </w:pPr>
      <w:r>
        <w:rPr>
          <w:rFonts w:ascii="Georgia" w:hAnsi="Georgia" w:cs="Georgia"/>
          <w:b/>
          <w:i w:val="0"/>
          <w:color w:val="1F4E79"/>
          <w:sz w:val="25"/>
        </w:rPr>
        <w:t>Appendix D · Disclosure of AI use</w:t>
      </w:r>
    </w:p>
    <w:p>
      <w:pPr>
        <w:spacing w:after="160" w:line="480" w:lineRule="auto"/>
        <w:jc w:val="both"/>
      </w:pPr>
      <w:r>
        <w:rPr>
          <w:rFonts w:ascii="Georgia" w:hAnsi="Georgia" w:cs="Georgia"/>
          <w:b w:val="0"/>
          <w:i w:val="0"/>
          <w:color w:val="14171C"/>
          <w:sz w:val="24"/>
        </w:rPr>
        <w:t>Per the FIU University Graduate School *Guidelines for the Use of AI in Graduate Research, Theses, and Dissertations*:</w:t>
      </w:r>
    </w:p>
    <w:p>
      <w:pPr>
        <w:spacing w:after="160" w:line="480" w:lineRule="auto"/>
        <w:jc w:val="both"/>
      </w:pPr>
      <w:r>
        <w:rPr>
          <w:rFonts w:ascii="Georgia" w:hAnsi="Georgia" w:cs="Georgia"/>
          <w:b/>
          <w:i w:val="0"/>
          <w:color w:val="14171C"/>
          <w:sz w:val="24"/>
        </w:rPr>
        <w:t>[COMPLETE THIS BEFORE SUBMITTING — STATE HONESTLY WHICH TOOLS AND FOR WHAT.]</w:t>
      </w:r>
      <w:r>
        <w:rPr>
          <w:rFonts w:ascii="Georgia" w:hAnsi="Georgia" w:cs="Georgia"/>
          <w:b w:val="0"/>
          <w:i w:val="0"/>
          <w:color w:val="14171C"/>
          <w:sz w:val="24"/>
        </w:rPr>
        <w:t xml:space="preserve"> Verification of quotations against the source PDFs, organisation of material, and formatting were AI-assisted. The reading of the four papers, the argument that they share one diagnosis, and the limitations stated in section 6 are the author's own.</w:t>
      </w:r>
    </w:p>
    <w:p>
      <w:pPr>
        <w:spacing w:before="280" w:after="60"/>
        <w:pBdr>
          <w:bottom w:val="single" w:sz="6" w:space="4" w:color="D8D4CB"/>
        </w:pBdr>
      </w:pPr>
      <w:r>
        <w:rPr>
          <w:rFonts w:ascii="Consolas" w:hAnsi="Consolas" w:cs="Consolas"/>
          <w:b/>
          <w:i w:val="0"/>
          <w:caps/>
          <w:color w:val="767D86"/>
          <w:sz w:val="16"/>
          <w:spacing w:val="22"/>
        </w:rPr>
        <w:t>Articles</w:t>
      </w:r>
    </w:p>
    <w:p>
      <w:pPr>
        <w:spacing w:after="100" w:line="264" w:lineRule="auto"/>
      </w:pPr>
      <w:r>
        <w:rPr>
          <w:rFonts w:ascii="Georgia" w:hAnsi="Georgia" w:cs="Georgia"/>
          <w:b w:val="0"/>
          <w:i w:val="0"/>
          <w:color w:val="767D86"/>
          <w:sz w:val="18"/>
        </w:rPr>
        <w:t>Contractor, F. J., Kundu, S. K., &amp; Hsu, C.-C. (2003). A three-stage theory of international expansion. Journal of International Business Studies, 34(1), 5–18.</w:t>
      </w:r>
    </w:p>
    <w:p>
      <w:pPr>
        <w:spacing w:after="100" w:line="264" w:lineRule="auto"/>
      </w:pPr>
      <w:r>
        <w:rPr>
          <w:rFonts w:ascii="Georgia" w:hAnsi="Georgia" w:cs="Georgia"/>
          <w:b w:val="0"/>
          <w:i w:val="0"/>
          <w:color w:val="767D86"/>
          <w:sz w:val="18"/>
        </w:rPr>
        <w:t>Mezias, J. M. (2002). Identifying liabilities of foreignness and strategies to minimize their effects. Strategic Management Journal, 23(3), 229–244.</w:t>
      </w:r>
    </w:p>
    <w:p>
      <w:pPr>
        <w:spacing w:after="100" w:line="264" w:lineRule="auto"/>
      </w:pPr>
      <w:r>
        <w:rPr>
          <w:rFonts w:ascii="Georgia" w:hAnsi="Georgia" w:cs="Georgia"/>
          <w:b w:val="0"/>
          <w:i w:val="0"/>
          <w:color w:val="767D86"/>
          <w:sz w:val="18"/>
        </w:rPr>
        <w:t>Ghemawat, P. (2001). Distance still matters: The hard reality of global expansion. Harvard Business Review, 79(8), 137–147.</w:t>
      </w:r>
    </w:p>
    <w:p>
      <w:pPr>
        <w:spacing w:after="100" w:line="264" w:lineRule="auto"/>
      </w:pPr>
      <w:r>
        <w:rPr>
          <w:rFonts w:ascii="Georgia" w:hAnsi="Georgia" w:cs="Georgia"/>
          <w:b w:val="0"/>
          <w:i w:val="0"/>
          <w:color w:val="767D86"/>
          <w:sz w:val="18"/>
        </w:rPr>
        <w:t>Arregle, J.-L., Chirico, F., Kano, L., Kundu, S. K., Majocchi, A., &amp; Schulze, W. S. (2021). Family firm internationalization. Journal of International Business Studies, 52, 1159–1198.</w:t>
      </w:r>
    </w:p>
    <w:p>
      <w:pPr>
        <w:spacing w:before="280" w:after="60"/>
        <w:pBdr>
          <w:bottom w:val="single" w:sz="6" w:space="4" w:color="D8D4CB"/>
        </w:pBdr>
      </w:pPr>
      <w:r>
        <w:rPr>
          <w:rFonts w:ascii="Consolas" w:hAnsi="Consolas" w:cs="Consolas"/>
          <w:b/>
          <w:i w:val="0"/>
          <w:caps/>
          <w:color w:val="767D86"/>
          <w:sz w:val="16"/>
          <w:spacing w:val="22"/>
        </w:rPr>
        <w:t>AI-use disclosure</w:t>
      </w:r>
    </w:p>
    <w:p>
      <w:pPr>
        <w:spacing w:after="100" w:line="264" w:lineRule="auto"/>
      </w:pPr>
      <w:r>
        <w:rPr>
          <w:rFonts w:ascii="Georgia" w:hAnsi="Georgia" w:cs="Georgia"/>
          <w:b/>
          <w:i w:val="0"/>
          <w:caps/>
          <w:color w:val="1F4E79"/>
          <w:sz w:val="18"/>
          <w:highlight w:val="yellow"/>
        </w:rPr>
        <w:t>CHECK THIS COURSE'S AI POLICY FIRST — IT WAS ADDED TO THE SYLLABUS ON 20 AUGUST AND IS NOT GEB 7911'S 25% CAP. RE-DOWNLOAD THE SYLLABUS FROM CANVAS, THEN COMPLETE THIS LINE HONESTLY.</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480" w:lineRule="auto"/>
    </w:pPr>
    <w:rPr>
      <w:rFonts w:ascii="Georgia" w:hAnsi="Georgia"/>
      <w:color w:val="1417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