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0"/>
        </w:rPr>
        <w:t>GEB 7365 · The MNE beyond the market</w:t>
      </w:r>
    </w:p>
    <w:p>
      <w:pPr>
        <w:spacing w:after="200"/>
      </w:pPr>
      <w:r>
        <w:rPr>
          <w:rFonts w:ascii="Times New Roman" w:hAnsi="Times New Roman" w:cs="Times New Roman" w:eastAsia="Times New Roman"/>
          <w:i/>
          <w:color w:val="000000"/>
          <w:sz w:val="24"/>
        </w:rPr>
        <w:t>Study pack: Caprar 2022 · Bruijn 2024 · Thams 2025 · Sun 2021</w:t>
      </w:r>
    </w:p>
    <w:p>
      <w:pPr>
        <w:spacing w:after="20" w:line="240" w:lineRule="auto"/>
      </w:pPr>
      <w:r>
        <w:rPr>
          <w:rFonts w:ascii="Times New Roman" w:hAnsi="Times New Roman" w:cs="Times New Roman" w:eastAsia="Times New Roman"/>
          <w:color w:val="000000"/>
          <w:sz w:val="21"/>
        </w:rPr>
        <w:t>Yasir A. Malik · FIU DBA · prepared 30 September 2026</w:t>
      </w:r>
    </w:p>
    <w:p>
      <w:pPr>
        <w:spacing w:after="80"/>
      </w:pPr>
    </w:p>
    <w:p>
      <w:pPr>
        <w:pStyle w:val="Heading2"/>
      </w:pPr>
      <w:r>
        <w:rPr>
          <w:rFonts w:ascii="Times New Roman" w:hAnsi="Times New Roman" w:cs="Times New Roman" w:eastAsia="Times New Roman"/>
          <w:b/>
          <w:color w:val="000000"/>
          <w:sz w:val="24"/>
        </w:rPr>
        <w:t>The thread through all four</w:t>
      </w:r>
    </w:p>
    <w:p>
      <w:pPr>
        <w:spacing w:line="276" w:lineRule="auto" w:after="160"/>
        <w:jc w:val="both"/>
      </w:pPr>
      <w:r>
        <w:rPr>
          <w:rFonts w:ascii="Times New Roman" w:hAnsi="Times New Roman" w:cs="Times New Roman" w:eastAsia="Times New Roman"/>
          <w:color w:val="000000"/>
          <w:sz w:val="22"/>
        </w:rPr>
        <w:t>Each paper argues that international business research has studied the MNE too narrowly, and each names the same three blind spots:</w:t>
      </w:r>
    </w:p>
    <w:p>
      <w:pPr>
        <w:pStyle w:val="ListBullet"/>
        <w:spacing w:line="276" w:lineRule="auto"/>
      </w:pPr>
      <w:r>
        <w:rPr>
          <w:rFonts w:ascii="Times New Roman" w:hAnsi="Times New Roman" w:cs="Times New Roman" w:eastAsia="Times New Roman"/>
          <w:b/>
          <w:i w:val="0"/>
          <w:color w:val="000000"/>
          <w:sz w:val="22"/>
        </w:rPr>
        <w:t>Context is under-specified.</w:t>
      </w:r>
      <w:r>
        <w:rPr>
          <w:rFonts w:ascii="Times New Roman" w:hAnsi="Times New Roman" w:cs="Times New Roman" w:eastAsia="Times New Roman"/>
          <w:color w:val="000000"/>
          <w:sz w:val="22"/>
        </w:rPr>
        <w:t xml:space="preserve"> "Fit with local culture" (Caprar), U.S.-style liberal/conservative</w:t>
      </w:r>
    </w:p>
    <w:p>
      <w:pPr>
        <w:spacing w:line="276" w:lineRule="auto" w:after="160"/>
        <w:jc w:val="both"/>
      </w:pPr>
      <w:r>
        <w:rPr>
          <w:rFonts w:ascii="Times New Roman" w:hAnsi="Times New Roman" w:cs="Times New Roman" w:eastAsia="Times New Roman"/>
          <w:color w:val="000000"/>
          <w:sz w:val="22"/>
        </w:rPr>
        <w:t>ideology (Thams), the "usual suspect" countries (Bruijn) and national-level host governments (Sun) are all treated as if they were the whole picture.</w:t>
      </w:r>
    </w:p>
    <w:p>
      <w:pPr>
        <w:pStyle w:val="ListBullet"/>
        <w:spacing w:line="276" w:lineRule="auto"/>
      </w:pPr>
      <w:r>
        <w:rPr>
          <w:rFonts w:ascii="Times New Roman" w:hAnsi="Times New Roman" w:cs="Times New Roman" w:eastAsia="Times New Roman"/>
          <w:b/>
          <w:i w:val="0"/>
          <w:color w:val="000000"/>
          <w:sz w:val="22"/>
        </w:rPr>
        <w:t>Levels of analysis are collapsed.</w:t>
      </w:r>
      <w:r>
        <w:rPr>
          <w:rFonts w:ascii="Times New Roman" w:hAnsi="Times New Roman" w:cs="Times New Roman" w:eastAsia="Times New Roman"/>
          <w:color w:val="000000"/>
          <w:sz w:val="22"/>
        </w:rPr>
        <w:t xml:space="preserve"> All four call for multi-level work: nation versus</w:t>
      </w:r>
    </w:p>
    <w:p>
      <w:pPr>
        <w:spacing w:line="276" w:lineRule="auto" w:after="160"/>
        <w:jc w:val="both"/>
      </w:pPr>
      <w:r>
        <w:rPr>
          <w:rFonts w:ascii="Times New Roman" w:hAnsi="Times New Roman" w:cs="Times New Roman" w:eastAsia="Times New Roman"/>
          <w:color w:val="000000"/>
          <w:sz w:val="22"/>
        </w:rPr>
        <w:t>subculture (Caprar), home, host and supranational versus subsidiary and CEO (Thams, Sun), MNE, civil-society actor and country (Bruijn).</w:t>
      </w:r>
    </w:p>
    <w:p>
      <w:pPr>
        <w:pStyle w:val="ListBullet"/>
        <w:spacing w:line="276" w:lineRule="auto"/>
      </w:pPr>
      <w:r>
        <w:rPr>
          <w:rFonts w:ascii="Times New Roman" w:hAnsi="Times New Roman" w:cs="Times New Roman" w:eastAsia="Times New Roman"/>
          <w:b/>
          <w:i w:val="0"/>
          <w:color w:val="000000"/>
          <w:sz w:val="22"/>
        </w:rPr>
        <w:t>Society is an outcome, not only a setting.</w:t>
      </w:r>
      <w:r>
        <w:rPr>
          <w:rFonts w:ascii="Times New Roman" w:hAnsi="Times New Roman" w:cs="Times New Roman" w:eastAsia="Times New Roman"/>
          <w:color w:val="000000"/>
          <w:sz w:val="22"/>
        </w:rPr>
        <w:t xml:space="preserve"> The firm's effect on society is rarely measured</w:t>
      </w:r>
    </w:p>
    <w:p>
      <w:pPr>
        <w:spacing w:line="276" w:lineRule="auto" w:after="160"/>
        <w:jc w:val="both"/>
      </w:pPr>
      <w:r>
        <w:rPr>
          <w:rFonts w:ascii="Times New Roman" w:hAnsi="Times New Roman" w:cs="Times New Roman" w:eastAsia="Times New Roman"/>
          <w:color w:val="000000"/>
          <w:sz w:val="22"/>
        </w:rPr>
        <w:t>(Bruijn), MNEs spread ideology (Thams), and nonmarket strategy's intent is usually inferred rather than observed (Sun).</w:t>
      </w:r>
    </w:p>
    <w:p>
      <w:pPr>
        <w:spacing w:line="276" w:lineRule="auto" w:after="160"/>
        <w:jc w:val="both"/>
      </w:pPr>
      <w:r>
        <w:rPr>
          <w:rFonts w:ascii="Times New Roman" w:hAnsi="Times New Roman" w:cs="Times New Roman" w:eastAsia="Times New Roman"/>
          <w:b/>
          <w:i w:val="0"/>
          <w:color w:val="000000"/>
          <w:sz w:val="22"/>
        </w:rPr>
        <w:t>Your line for class:</w:t>
      </w: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color w:val="000000"/>
          <w:sz w:val="22"/>
        </w:rPr>
        <w:t>"All four papers make the same move from different directions: they show that what the field treated as a fixed backdrop, culture, ideology, civil society or institutions, is something MNEs act on and are acted on by, at several levels at once. That is a measurement problem as much as a theory problem."</w:t>
      </w:r>
      <w:r>
        <w:rPr>
          <w:rFonts w:ascii="Times New Roman" w:hAnsi="Times New Roman" w:cs="Times New Roman" w:eastAsia="Times New Roman"/>
          <w:color w:val="000000"/>
          <w:sz w:val="22"/>
        </w:rPr>
        <w:t xml:space="preserve"> It connects to your own paper: the field's conclusions depend on where and at what level it looks.</w:t>
      </w:r>
    </w:p>
    <w:p>
      <w:pPr>
        <w:pStyle w:val="Heading2"/>
      </w:pPr>
      <w:r>
        <w:rPr>
          <w:rFonts w:ascii="Times New Roman" w:hAnsi="Times New Roman" w:cs="Times New Roman" w:eastAsia="Times New Roman"/>
          <w:b/>
          <w:color w:val="000000"/>
          <w:sz w:val="24"/>
        </w:rPr>
        <w:t>At a glance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line="240" w:lineRule="auto"/>
            </w:pPr>
            <w:r>
              <w:rPr>
                <w:rFonts w:ascii="Times New Roman" w:hAnsi="Times New Roman" w:cs="Times New Roman" w:eastAsia="Times New Roman"/>
                <w:b/>
                <w:color w:val="000000"/>
                <w:sz w:val="19"/>
              </w:rPr>
            </w:r>
          </w:p>
        </w:tc>
        <w:tc>
          <w:tcPr>
            <w:tcW w:type="dxa" w:w="1872"/>
          </w:tcPr>
          <w:p>
            <w:pPr>
              <w:spacing w:after="40" w:line="240" w:lineRule="auto"/>
            </w:pPr>
            <w:r>
              <w:rPr>
                <w:rFonts w:ascii="Times New Roman" w:hAnsi="Times New Roman" w:cs="Times New Roman" w:eastAsia="Times New Roman"/>
                <w:b/>
                <w:color w:val="000000"/>
                <w:sz w:val="19"/>
              </w:rPr>
              <w:t>Caprar et al. 2022</w:t>
            </w:r>
          </w:p>
        </w:tc>
        <w:tc>
          <w:tcPr>
            <w:tcW w:type="dxa" w:w="1872"/>
          </w:tcPr>
          <w:p>
            <w:pPr>
              <w:spacing w:after="40" w:line="240" w:lineRule="auto"/>
            </w:pPr>
            <w:r>
              <w:rPr>
                <w:rFonts w:ascii="Times New Roman" w:hAnsi="Times New Roman" w:cs="Times New Roman" w:eastAsia="Times New Roman"/>
                <w:b/>
                <w:color w:val="000000"/>
                <w:sz w:val="19"/>
              </w:rPr>
              <w:t>Bruijn et al. 2024</w:t>
            </w:r>
          </w:p>
        </w:tc>
        <w:tc>
          <w:tcPr>
            <w:tcW w:type="dxa" w:w="1872"/>
          </w:tcPr>
          <w:p>
            <w:pPr>
              <w:spacing w:after="40" w:line="240" w:lineRule="auto"/>
            </w:pPr>
            <w:r>
              <w:rPr>
                <w:rFonts w:ascii="Times New Roman" w:hAnsi="Times New Roman" w:cs="Times New Roman" w:eastAsia="Times New Roman"/>
                <w:b/>
                <w:color w:val="000000"/>
                <w:sz w:val="19"/>
              </w:rPr>
              <w:t>Thams et al. 2025</w:t>
            </w:r>
          </w:p>
        </w:tc>
        <w:tc>
          <w:tcPr>
            <w:tcW w:type="dxa" w:w="1872"/>
          </w:tcPr>
          <w:p>
            <w:pPr>
              <w:spacing w:after="40" w:line="240" w:lineRule="auto"/>
            </w:pPr>
            <w:r>
              <w:rPr>
                <w:rFonts w:ascii="Times New Roman" w:hAnsi="Times New Roman" w:cs="Times New Roman" w:eastAsia="Times New Roman"/>
                <w:b/>
                <w:color w:val="000000"/>
                <w:sz w:val="19"/>
              </w:rPr>
              <w:t>Sun et al. 2021</w:t>
            </w:r>
          </w:p>
        </w:tc>
      </w:tr>
      <w:tr>
        <w:tc>
          <w:tcPr>
            <w:tcW w:type="dxa" w:w="1872"/>
          </w:tcPr>
          <w:p>
            <w:pPr>
              <w:spacing w:after="40" w:line="240" w:lineRule="auto"/>
            </w:pPr>
            <w:r>
              <w:rPr>
                <w:rFonts w:ascii="Times New Roman" w:hAnsi="Times New Roman" w:cs="Times New Roman" w:eastAsia="Times New Roman"/>
                <w:b w:val="0"/>
                <w:color w:val="000000"/>
                <w:sz w:val="19"/>
              </w:rPr>
              <w:t>Journal</w:t>
            </w:r>
          </w:p>
        </w:tc>
        <w:tc>
          <w:tcPr>
            <w:tcW w:type="dxa" w:w="1872"/>
          </w:tcPr>
          <w:p>
            <w:pPr>
              <w:spacing w:after="40" w:line="240" w:lineRule="auto"/>
            </w:pPr>
            <w:r>
              <w:rPr>
                <w:rFonts w:ascii="Times New Roman" w:hAnsi="Times New Roman" w:cs="Times New Roman" w:eastAsia="Times New Roman"/>
                <w:b w:val="0"/>
                <w:color w:val="000000"/>
                <w:sz w:val="19"/>
              </w:rPr>
              <w:t>JIBS 53: 1449–1483</w:t>
            </w:r>
          </w:p>
        </w:tc>
        <w:tc>
          <w:tcPr>
            <w:tcW w:type="dxa" w:w="1872"/>
          </w:tcPr>
          <w:p>
            <w:pPr>
              <w:spacing w:after="40" w:line="240" w:lineRule="auto"/>
            </w:pPr>
            <w:r>
              <w:rPr>
                <w:rFonts w:ascii="Times New Roman" w:hAnsi="Times New Roman" w:cs="Times New Roman" w:eastAsia="Times New Roman"/>
                <w:b w:val="0"/>
                <w:color w:val="000000"/>
                <w:sz w:val="19"/>
              </w:rPr>
              <w:t>JIBS 55: 136–156</w:t>
            </w:r>
          </w:p>
        </w:tc>
        <w:tc>
          <w:tcPr>
            <w:tcW w:type="dxa" w:w="1872"/>
          </w:tcPr>
          <w:p>
            <w:pPr>
              <w:spacing w:after="40" w:line="240" w:lineRule="auto"/>
            </w:pPr>
            <w:r>
              <w:rPr>
                <w:rFonts w:ascii="Times New Roman" w:hAnsi="Times New Roman" w:cs="Times New Roman" w:eastAsia="Times New Roman"/>
                <w:b w:val="0"/>
                <w:color w:val="000000"/>
                <w:sz w:val="19"/>
              </w:rPr>
              <w:t>JWB 60, 101678</w:t>
            </w:r>
          </w:p>
        </w:tc>
        <w:tc>
          <w:tcPr>
            <w:tcW w:type="dxa" w:w="1872"/>
          </w:tcPr>
          <w:p>
            <w:pPr>
              <w:spacing w:after="40" w:line="240" w:lineRule="auto"/>
            </w:pPr>
            <w:r>
              <w:rPr>
                <w:rFonts w:ascii="Times New Roman" w:hAnsi="Times New Roman" w:cs="Times New Roman" w:eastAsia="Times New Roman"/>
                <w:b w:val="0"/>
                <w:color w:val="000000"/>
                <w:sz w:val="19"/>
              </w:rPr>
              <w:t>JIBS 52: 1818–1853</w:t>
            </w:r>
          </w:p>
        </w:tc>
      </w:tr>
      <w:tr>
        <w:tc>
          <w:tcPr>
            <w:tcW w:type="dxa" w:w="1872"/>
          </w:tcPr>
          <w:p>
            <w:pPr>
              <w:spacing w:after="40" w:line="240" w:lineRule="auto"/>
            </w:pPr>
            <w:r>
              <w:rPr>
                <w:rFonts w:ascii="Times New Roman" w:hAnsi="Times New Roman" w:cs="Times New Roman" w:eastAsia="Times New Roman"/>
                <w:b w:val="0"/>
                <w:color w:val="000000"/>
                <w:sz w:val="19"/>
              </w:rPr>
              <w:t>Type</w:t>
            </w:r>
          </w:p>
        </w:tc>
        <w:tc>
          <w:tcPr>
            <w:tcW w:type="dxa" w:w="1872"/>
          </w:tcPr>
          <w:p>
            <w:pPr>
              <w:spacing w:after="40" w:line="240" w:lineRule="auto"/>
            </w:pPr>
            <w:r>
              <w:rPr>
                <w:rFonts w:ascii="Times New Roman" w:hAnsi="Times New Roman" w:cs="Times New Roman" w:eastAsia="Times New Roman"/>
                <w:b w:val="0"/>
                <w:color w:val="000000"/>
                <w:sz w:val="19"/>
              </w:rPr>
              <w:t>Review + theory building</w:t>
            </w:r>
          </w:p>
        </w:tc>
        <w:tc>
          <w:tcPr>
            <w:tcW w:type="dxa" w:w="1872"/>
          </w:tcPr>
          <w:p>
            <w:pPr>
              <w:spacing w:after="40" w:line="240" w:lineRule="auto"/>
            </w:pPr>
            <w:r>
              <w:rPr>
                <w:rFonts w:ascii="Times New Roman" w:hAnsi="Times New Roman" w:cs="Times New Roman" w:eastAsia="Times New Roman"/>
                <w:b w:val="0"/>
                <w:color w:val="000000"/>
                <w:sz w:val="19"/>
              </w:rPr>
              <w:t>Systematic review</w:t>
            </w:r>
          </w:p>
        </w:tc>
        <w:tc>
          <w:tcPr>
            <w:tcW w:type="dxa" w:w="1872"/>
          </w:tcPr>
          <w:p>
            <w:pPr>
              <w:spacing w:after="40" w:line="240" w:lineRule="auto"/>
            </w:pPr>
            <w:r>
              <w:rPr>
                <w:rFonts w:ascii="Times New Roman" w:hAnsi="Times New Roman" w:cs="Times New Roman" w:eastAsia="Times New Roman"/>
                <w:b w:val="0"/>
                <w:color w:val="000000"/>
                <w:sz w:val="19"/>
              </w:rPr>
              <w:t>Conceptual perspective</w:t>
            </w:r>
          </w:p>
        </w:tc>
        <w:tc>
          <w:tcPr>
            <w:tcW w:type="dxa" w:w="1872"/>
          </w:tcPr>
          <w:p>
            <w:pPr>
              <w:spacing w:after="40" w:line="240" w:lineRule="auto"/>
            </w:pPr>
            <w:r>
              <w:rPr>
                <w:rFonts w:ascii="Times New Roman" w:hAnsi="Times New Roman" w:cs="Times New Roman" w:eastAsia="Times New Roman"/>
                <w:b w:val="0"/>
                <w:color w:val="000000"/>
                <w:sz w:val="19"/>
              </w:rPr>
              <w:t>Systematic review</w:t>
            </w:r>
          </w:p>
        </w:tc>
      </w:tr>
      <w:tr>
        <w:tc>
          <w:tcPr>
            <w:tcW w:type="dxa" w:w="1872"/>
          </w:tcPr>
          <w:p>
            <w:pPr>
              <w:spacing w:after="40" w:line="240" w:lineRule="auto"/>
            </w:pPr>
            <w:r>
              <w:rPr>
                <w:rFonts w:ascii="Times New Roman" w:hAnsi="Times New Roman" w:cs="Times New Roman" w:eastAsia="Times New Roman"/>
                <w:b w:val="0"/>
                <w:color w:val="000000"/>
                <w:sz w:val="19"/>
              </w:rPr>
              <w:t>Evidence</w:t>
            </w:r>
          </w:p>
        </w:tc>
        <w:tc>
          <w:tcPr>
            <w:tcW w:type="dxa" w:w="1872"/>
          </w:tcPr>
          <w:p>
            <w:pPr>
              <w:spacing w:after="40" w:line="240" w:lineRule="auto"/>
            </w:pPr>
            <w:r>
              <w:rPr>
                <w:rFonts w:ascii="Times New Roman" w:hAnsi="Times New Roman" w:cs="Times New Roman" w:eastAsia="Times New Roman"/>
                <w:b w:val="0"/>
                <w:color w:val="000000"/>
                <w:sz w:val="19"/>
              </w:rPr>
              <w:t>95 empirical studies, 23 journals, 1980–2020</w:t>
            </w:r>
          </w:p>
        </w:tc>
        <w:tc>
          <w:tcPr>
            <w:tcW w:type="dxa" w:w="1872"/>
          </w:tcPr>
          <w:p>
            <w:pPr>
              <w:spacing w:after="40" w:line="240" w:lineRule="auto"/>
            </w:pPr>
            <w:r>
              <w:rPr>
                <w:rFonts w:ascii="Times New Roman" w:hAnsi="Times New Roman" w:cs="Times New Roman" w:eastAsia="Times New Roman"/>
                <w:b w:val="0"/>
                <w:color w:val="000000"/>
                <w:sz w:val="19"/>
              </w:rPr>
              <w:t>166 articles, 41 journals, 1990–2020</w:t>
            </w:r>
          </w:p>
        </w:tc>
        <w:tc>
          <w:tcPr>
            <w:tcW w:type="dxa" w:w="1872"/>
          </w:tcPr>
          <w:p>
            <w:pPr>
              <w:spacing w:after="40" w:line="240" w:lineRule="auto"/>
            </w:pPr>
            <w:r>
              <w:rPr>
                <w:rFonts w:ascii="Times New Roman" w:hAnsi="Times New Roman" w:cs="Times New Roman" w:eastAsia="Times New Roman"/>
                <w:b w:val="0"/>
                <w:color w:val="000000"/>
                <w:sz w:val="19"/>
              </w:rPr>
              <w:t>No data</w:t>
            </w:r>
          </w:p>
        </w:tc>
        <w:tc>
          <w:tcPr>
            <w:tcW w:type="dxa" w:w="1872"/>
          </w:tcPr>
          <w:p>
            <w:pPr>
              <w:spacing w:after="40" w:line="240" w:lineRule="auto"/>
            </w:pPr>
            <w:r>
              <w:rPr>
                <w:rFonts w:ascii="Times New Roman" w:hAnsi="Times New Roman" w:cs="Times New Roman" w:eastAsia="Times New Roman"/>
                <w:b w:val="0"/>
                <w:color w:val="000000"/>
                <w:sz w:val="19"/>
              </w:rPr>
              <w:t>367 articles, 44 journals, 2000–2020</w:t>
            </w:r>
          </w:p>
        </w:tc>
      </w:tr>
      <w:tr>
        <w:tc>
          <w:tcPr>
            <w:tcW w:type="dxa" w:w="1872"/>
          </w:tcPr>
          <w:p>
            <w:pPr>
              <w:spacing w:after="40" w:line="240" w:lineRule="auto"/>
            </w:pPr>
            <w:r>
              <w:rPr>
                <w:rFonts w:ascii="Times New Roman" w:hAnsi="Times New Roman" w:cs="Times New Roman" w:eastAsia="Times New Roman"/>
                <w:b w:val="0"/>
                <w:color w:val="000000"/>
                <w:sz w:val="19"/>
              </w:rPr>
              <w:t>Question</w:t>
            </w:r>
          </w:p>
        </w:tc>
        <w:tc>
          <w:tcPr>
            <w:tcW w:type="dxa" w:w="1872"/>
          </w:tcPr>
          <w:p>
            <w:pPr>
              <w:spacing w:after="40" w:line="240" w:lineRule="auto"/>
            </w:pPr>
            <w:r>
              <w:rPr>
                <w:rFonts w:ascii="Times New Roman" w:hAnsi="Times New Roman" w:cs="Times New Roman" w:eastAsia="Times New Roman"/>
                <w:b w:val="0"/>
                <w:color w:val="000000"/>
                <w:sz w:val="19"/>
              </w:rPr>
              <w:t>When do countercultural practices work?</w:t>
            </w:r>
          </w:p>
        </w:tc>
        <w:tc>
          <w:tcPr>
            <w:tcW w:type="dxa" w:w="1872"/>
          </w:tcPr>
          <w:p>
            <w:pPr>
              <w:spacing w:after="40" w:line="240" w:lineRule="auto"/>
            </w:pPr>
            <w:r>
              <w:rPr>
                <w:rFonts w:ascii="Times New Roman" w:hAnsi="Times New Roman" w:cs="Times New Roman" w:eastAsia="Times New Roman"/>
                <w:b w:val="0"/>
                <w:color w:val="000000"/>
                <w:sz w:val="19"/>
              </w:rPr>
              <w:t>What do we know about MNE–civil society interactions?</w:t>
            </w:r>
          </w:p>
        </w:tc>
        <w:tc>
          <w:tcPr>
            <w:tcW w:type="dxa" w:w="1872"/>
          </w:tcPr>
          <w:p>
            <w:pPr>
              <w:spacing w:after="40" w:line="240" w:lineRule="auto"/>
            </w:pPr>
            <w:r>
              <w:rPr>
                <w:rFonts w:ascii="Times New Roman" w:hAnsi="Times New Roman" w:cs="Times New Roman" w:eastAsia="Times New Roman"/>
                <w:b w:val="0"/>
                <w:color w:val="000000"/>
                <w:sz w:val="19"/>
              </w:rPr>
              <w:t>How does political ideology shape MNEs?</w:t>
            </w:r>
          </w:p>
        </w:tc>
        <w:tc>
          <w:tcPr>
            <w:tcW w:type="dxa" w:w="1872"/>
          </w:tcPr>
          <w:p>
            <w:pPr>
              <w:spacing w:after="40" w:line="240" w:lineRule="auto"/>
            </w:pPr>
            <w:r>
              <w:rPr>
                <w:rFonts w:ascii="Times New Roman" w:hAnsi="Times New Roman" w:cs="Times New Roman" w:eastAsia="Times New Roman"/>
                <w:b w:val="0"/>
                <w:color w:val="000000"/>
                <w:sz w:val="19"/>
              </w:rPr>
              <w:t>How do MNEs use nonmarket strategy across institutions?</w:t>
            </w:r>
          </w:p>
        </w:tc>
      </w:tr>
      <w:tr>
        <w:tc>
          <w:tcPr>
            <w:tcW w:type="dxa" w:w="1872"/>
          </w:tcPr>
          <w:p>
            <w:pPr>
              <w:spacing w:after="40" w:line="240" w:lineRule="auto"/>
            </w:pPr>
            <w:r>
              <w:rPr>
                <w:rFonts w:ascii="Times New Roman" w:hAnsi="Times New Roman" w:cs="Times New Roman" w:eastAsia="Times New Roman"/>
                <w:b w:val="0"/>
                <w:color w:val="000000"/>
                <w:sz w:val="19"/>
              </w:rPr>
              <w:t>Big claim</w:t>
            </w:r>
          </w:p>
        </w:tc>
        <w:tc>
          <w:tcPr>
            <w:tcW w:type="dxa" w:w="1872"/>
          </w:tcPr>
          <w:p>
            <w:pPr>
              <w:spacing w:after="40" w:line="240" w:lineRule="auto"/>
            </w:pPr>
            <w:r>
              <w:rPr>
                <w:rFonts w:ascii="Times New Roman" w:hAnsi="Times New Roman" w:cs="Times New Roman" w:eastAsia="Times New Roman"/>
                <w:b w:val="0"/>
                <w:color w:val="000000"/>
                <w:sz w:val="19"/>
              </w:rPr>
              <w:t>Fit is not always good</w:t>
            </w:r>
          </w:p>
        </w:tc>
        <w:tc>
          <w:tcPr>
            <w:tcW w:type="dxa" w:w="1872"/>
          </w:tcPr>
          <w:p>
            <w:pPr>
              <w:spacing w:after="40" w:line="240" w:lineRule="auto"/>
            </w:pPr>
            <w:r>
              <w:rPr>
                <w:rFonts w:ascii="Times New Roman" w:hAnsi="Times New Roman" w:cs="Times New Roman" w:eastAsia="Times New Roman"/>
                <w:b w:val="0"/>
                <w:color w:val="000000"/>
                <w:sz w:val="19"/>
              </w:rPr>
              <w:t>Research is out of step with practice</w:t>
            </w:r>
          </w:p>
        </w:tc>
        <w:tc>
          <w:tcPr>
            <w:tcW w:type="dxa" w:w="1872"/>
          </w:tcPr>
          <w:p>
            <w:pPr>
              <w:spacing w:after="40" w:line="240" w:lineRule="auto"/>
            </w:pPr>
            <w:r>
              <w:rPr>
                <w:rFonts w:ascii="Times New Roman" w:hAnsi="Times New Roman" w:cs="Times New Roman" w:eastAsia="Times New Roman"/>
                <w:b w:val="0"/>
                <w:color w:val="000000"/>
                <w:sz w:val="19"/>
              </w:rPr>
              <w:t>IB is the right home for ideology research</w:t>
            </w:r>
          </w:p>
        </w:tc>
        <w:tc>
          <w:tcPr>
            <w:tcW w:type="dxa" w:w="1872"/>
          </w:tcPr>
          <w:p>
            <w:pPr>
              <w:spacing w:after="40" w:line="240" w:lineRule="auto"/>
            </w:pPr>
            <w:r>
              <w:rPr>
                <w:rFonts w:ascii="Times New Roman" w:hAnsi="Times New Roman" w:cs="Times New Roman" w:eastAsia="Times New Roman"/>
                <w:b w:val="0"/>
                <w:color w:val="000000"/>
                <w:sz w:val="19"/>
              </w:rPr>
              <w:t>Subnational and micro levels are missing</w:t>
            </w:r>
          </w:p>
        </w:tc>
      </w:tr>
      <w:tr>
        <w:tc>
          <w:tcPr>
            <w:tcW w:type="dxa" w:w="1872"/>
          </w:tcPr>
          <w:p>
            <w:pPr>
              <w:spacing w:after="40" w:line="240" w:lineRule="auto"/>
            </w:pPr>
            <w:r>
              <w:rPr>
                <w:rFonts w:ascii="Times New Roman" w:hAnsi="Times New Roman" w:cs="Times New Roman" w:eastAsia="Times New Roman"/>
                <w:b w:val="0"/>
                <w:color w:val="000000"/>
                <w:sz w:val="19"/>
              </w:rPr>
              <w:t>Signature evidence</w:t>
            </w:r>
          </w:p>
        </w:tc>
        <w:tc>
          <w:tcPr>
            <w:tcW w:type="dxa" w:w="1872"/>
          </w:tcPr>
          <w:p>
            <w:pPr>
              <w:spacing w:after="40" w:line="240" w:lineRule="auto"/>
            </w:pPr>
            <w:r>
              <w:rPr>
                <w:rFonts w:ascii="Times New Roman" w:hAnsi="Times New Roman" w:cs="Times New Roman" w:eastAsia="Times New Roman"/>
                <w:b w:val="0"/>
                <w:color w:val="000000"/>
                <w:sz w:val="19"/>
              </w:rPr>
              <w:t>Rabl et al.: HPWS stronger in high power distance</w:t>
            </w:r>
          </w:p>
        </w:tc>
        <w:tc>
          <w:tcPr>
            <w:tcW w:type="dxa" w:w="1872"/>
          </w:tcPr>
          <w:p>
            <w:pPr>
              <w:spacing w:after="40" w:line="240" w:lineRule="auto"/>
            </w:pPr>
            <w:r>
              <w:rPr>
                <w:rFonts w:ascii="Times New Roman" w:hAnsi="Times New Roman" w:cs="Times New Roman" w:eastAsia="Times New Roman"/>
                <w:b w:val="0"/>
                <w:color w:val="000000"/>
                <w:sz w:val="19"/>
              </w:rPr>
              <w:t>GDELT: US, China, India over-studied</w:t>
            </w:r>
          </w:p>
        </w:tc>
        <w:tc>
          <w:tcPr>
            <w:tcW w:type="dxa" w:w="1872"/>
          </w:tcPr>
          <w:p>
            <w:pPr>
              <w:spacing w:after="40" w:line="240" w:lineRule="auto"/>
            </w:pPr>
            <w:r>
              <w:rPr>
                <w:rFonts w:ascii="Times New Roman" w:hAnsi="Times New Roman" w:cs="Times New Roman" w:eastAsia="Times New Roman"/>
                <w:b w:val="0"/>
                <w:color w:val="000000"/>
                <w:sz w:val="19"/>
              </w:rPr>
              <w:t>Fig. 1: context → mechanisms → impacts, with feedback</w:t>
            </w:r>
          </w:p>
        </w:tc>
        <w:tc>
          <w:tcPr>
            <w:tcW w:type="dxa" w:w="1872"/>
          </w:tcPr>
          <w:p>
            <w:pPr>
              <w:spacing w:after="40" w:line="240" w:lineRule="auto"/>
            </w:pPr>
            <w:r>
              <w:rPr>
                <w:rFonts w:ascii="Times New Roman" w:hAnsi="Times New Roman" w:cs="Times New Roman" w:eastAsia="Times New Roman"/>
                <w:b w:val="0"/>
                <w:color w:val="000000"/>
                <w:sz w:val="19"/>
              </w:rPr>
              <w:t>Table 2: 4 host-subnational studies, none home-subnational</w:t>
            </w:r>
          </w:p>
        </w:tc>
      </w:tr>
      <w:tr>
        <w:tc>
          <w:tcPr>
            <w:tcW w:type="dxa" w:w="1872"/>
          </w:tcPr>
          <w:p>
            <w:pPr>
              <w:spacing w:after="40" w:line="240" w:lineRule="auto"/>
            </w:pPr>
            <w:r>
              <w:rPr>
                <w:rFonts w:ascii="Times New Roman" w:hAnsi="Times New Roman" w:cs="Times New Roman" w:eastAsia="Times New Roman"/>
                <w:b w:val="0"/>
                <w:color w:val="000000"/>
                <w:sz w:val="19"/>
              </w:rPr>
              <w:t>Note</w:t>
            </w:r>
          </w:p>
        </w:tc>
        <w:tc>
          <w:tcPr>
            <w:tcW w:type="dxa" w:w="1872"/>
          </w:tcPr>
          <w:p>
            <w:pPr>
              <w:spacing w:after="40" w:line="240" w:lineRule="auto"/>
            </w:pPr>
            <w:r>
              <w:rPr>
                <w:rFonts w:ascii="Times New Roman" w:hAnsi="Times New Roman" w:cs="Times New Roman" w:eastAsia="Times New Roman"/>
                <w:b w:val="0"/>
                <w:color w:val="000000"/>
                <w:sz w:val="19"/>
              </w:rPr>
            </w:r>
          </w:p>
        </w:tc>
        <w:tc>
          <w:tcPr>
            <w:tcW w:type="dxa" w:w="1872"/>
          </w:tcPr>
          <w:p>
            <w:pPr>
              <w:spacing w:after="40" w:line="240" w:lineRule="auto"/>
            </w:pPr>
            <w:r>
              <w:rPr>
                <w:rFonts w:ascii="Times New Roman" w:hAnsi="Times New Roman" w:cs="Times New Roman" w:eastAsia="Times New Roman"/>
                <w:b w:val="0"/>
                <w:color w:val="000000"/>
                <w:sz w:val="19"/>
              </w:rPr>
              <w:t>First author is Bruijn (file name misspells it)</w:t>
            </w:r>
          </w:p>
        </w:tc>
        <w:tc>
          <w:tcPr>
            <w:tcW w:type="dxa" w:w="1872"/>
          </w:tcPr>
          <w:p>
            <w:pPr>
              <w:spacing w:after="40" w:line="240" w:lineRule="auto"/>
            </w:pPr>
            <w:r>
              <w:rPr>
                <w:rFonts w:ascii="Times New Roman" w:hAnsi="Times New Roman" w:cs="Times New Roman" w:eastAsia="Times New Roman"/>
                <w:b w:val="0"/>
                <w:color w:val="000000"/>
                <w:sz w:val="19"/>
              </w:rPr>
              <w:t>Newburry is 5th author</w:t>
            </w:r>
          </w:p>
        </w:tc>
        <w:tc>
          <w:tcPr>
            <w:tcW w:type="dxa" w:w="1872"/>
          </w:tcPr>
          <w:p>
            <w:pPr>
              <w:spacing w:after="40" w:line="240" w:lineRule="auto"/>
            </w:pPr>
            <w:r>
              <w:rPr>
                <w:rFonts w:ascii="Times New Roman" w:hAnsi="Times New Roman" w:cs="Times New Roman" w:eastAsia="Times New Roman"/>
                <w:b w:val="0"/>
                <w:color w:val="000000"/>
                <w:sz w:val="19"/>
              </w:rPr>
              <w:t>Institutional theory in 125 of 323</w:t>
            </w:r>
          </w:p>
        </w:tc>
      </w:tr>
    </w:tbl>
    <w:p>
      <w:pPr>
        <w:spacing w:after="120"/>
      </w:pPr>
    </w:p>
    <w:p>
      <w:pPr>
        <w:pStyle w:val="Heading2"/>
      </w:pPr>
      <w:r>
        <w:rPr>
          <w:rFonts w:ascii="Times New Roman" w:hAnsi="Times New Roman" w:cs="Times New Roman" w:eastAsia="Times New Roman"/>
          <w:b/>
          <w:color w:val="000000"/>
          <w:sz w:val="24"/>
        </w:rPr>
        <w:t>1 · Caprar, Kim, Walker &amp; Caligiuri (2022). Beyond "Doing as the Romans Do": A review of research on countercultural business practices. JIBS, 53, 1449–1483.</w:t>
      </w:r>
    </w:p>
    <w:p>
      <w:pPr>
        <w:spacing w:line="276" w:lineRule="auto" w:after="160"/>
        <w:jc w:val="both"/>
      </w:pPr>
      <w:r>
        <w:rPr>
          <w:rFonts w:ascii="Times New Roman" w:hAnsi="Times New Roman" w:cs="Times New Roman" w:eastAsia="Times New Roman"/>
          <w:b/>
          <w:i w:val="0"/>
          <w:color w:val="000000"/>
          <w:sz w:val="22"/>
        </w:rPr>
        <w:t>Question.</w:t>
      </w:r>
      <w:r>
        <w:rPr>
          <w:rFonts w:ascii="Times New Roman" w:hAnsi="Times New Roman" w:cs="Times New Roman" w:eastAsia="Times New Roman"/>
          <w:color w:val="000000"/>
          <w:sz w:val="22"/>
        </w:rPr>
        <w:t xml:space="preserve"> When and why can business practices that do not match local culture be effective or welcomed (pp. 1449, 1473)?</w:t>
      </w:r>
    </w:p>
    <w:p>
      <w:pPr>
        <w:spacing w:line="276" w:lineRule="auto" w:after="160"/>
        <w:jc w:val="both"/>
      </w:pPr>
      <w:r>
        <w:rPr>
          <w:rFonts w:ascii="Times New Roman" w:hAnsi="Times New Roman" w:cs="Times New Roman" w:eastAsia="Times New Roman"/>
          <w:b/>
          <w:i w:val="0"/>
          <w:color w:val="000000"/>
          <w:sz w:val="22"/>
        </w:rPr>
        <w:t>Gap.</w:t>
      </w:r>
      <w:r>
        <w:rPr>
          <w:rFonts w:ascii="Times New Roman" w:hAnsi="Times New Roman" w:cs="Times New Roman" w:eastAsia="Times New Roman"/>
          <w:color w:val="000000"/>
          <w:sz w:val="22"/>
        </w:rPr>
        <w:t xml:space="preserve"> Fit between practice and culture is treated as "almost axiomatic" (p. 1460); countercultural practice is cast as failure and contrary findings as "anomalies" (p. 1450). The authors "problematize" that assumption (pp. 1451, 1459) without disputing the value of adaptation.</w:t>
      </w:r>
    </w:p>
    <w:p>
      <w:pPr>
        <w:spacing w:line="276" w:lineRule="auto" w:after="160"/>
        <w:jc w:val="both"/>
      </w:pPr>
      <w:r>
        <w:rPr>
          <w:rFonts w:ascii="Times New Roman" w:hAnsi="Times New Roman" w:cs="Times New Roman" w:eastAsia="Times New Roman"/>
          <w:b/>
          <w:i w:val="0"/>
          <w:color w:val="000000"/>
          <w:sz w:val="22"/>
        </w:rPr>
        <w:t>Key terms.</w:t>
      </w: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color w:val="000000"/>
          <w:sz w:val="22"/>
        </w:rPr>
        <w:t>Countercultural practices</w:t>
      </w:r>
      <w:r>
        <w:rPr>
          <w:rFonts w:ascii="Times New Roman" w:hAnsi="Times New Roman" w:cs="Times New Roman" w:eastAsia="Times New Roman"/>
          <w:color w:val="000000"/>
          <w:sz w:val="22"/>
        </w:rPr>
        <w:t xml:space="preserve">: "practices that are seemingly incongruent with local cultural norms or values" (p. 1449). </w:t>
      </w:r>
      <w:r>
        <w:rPr>
          <w:rFonts w:ascii="Times New Roman" w:hAnsi="Times New Roman" w:cs="Times New Roman" w:eastAsia="Times New Roman"/>
          <w:b w:val="0"/>
          <w:i/>
          <w:color w:val="000000"/>
          <w:sz w:val="22"/>
        </w:rPr>
        <w:t>Fit</w:t>
      </w:r>
      <w:r>
        <w:rPr>
          <w:rFonts w:ascii="Times New Roman" w:hAnsi="Times New Roman" w:cs="Times New Roman" w:eastAsia="Times New Roman"/>
          <w:color w:val="000000"/>
          <w:sz w:val="22"/>
        </w:rPr>
        <w:t xml:space="preserve">: "consistency between business practices (broadly defined) and local cultures" (p. 1460). </w:t>
      </w:r>
      <w:r>
        <w:rPr>
          <w:rFonts w:ascii="Times New Roman" w:hAnsi="Times New Roman" w:cs="Times New Roman" w:eastAsia="Times New Roman"/>
          <w:b w:val="0"/>
          <w:i/>
          <w:color w:val="000000"/>
          <w:sz w:val="22"/>
        </w:rPr>
        <w:t>Cultural adaptation imperative</w:t>
      </w:r>
      <w:r>
        <w:rPr>
          <w:rFonts w:ascii="Times New Roman" w:hAnsi="Times New Roman" w:cs="Times New Roman" w:eastAsia="Times New Roman"/>
          <w:color w:val="000000"/>
          <w:sz w:val="22"/>
        </w:rPr>
        <w:t>: the assumption "that fit is inherently beneficial" (p. 1459). Also: advantage of foreignness, liability of localness (p. 1467), crossvergence (p. 1461), reverse adaptation (p. 1472), cultural agility (p. 1473).</w:t>
      </w:r>
    </w:p>
    <w:p>
      <w:pPr>
        <w:spacing w:line="276" w:lineRule="auto" w:after="160"/>
        <w:jc w:val="both"/>
      </w:pPr>
      <w:r>
        <w:rPr>
          <w:rFonts w:ascii="Times New Roman" w:hAnsi="Times New Roman" w:cs="Times New Roman" w:eastAsia="Times New Roman"/>
          <w:b/>
          <w:i w:val="0"/>
          <w:color w:val="000000"/>
          <w:sz w:val="22"/>
        </w:rPr>
        <w:t>Theory.</w:t>
      </w:r>
      <w:r>
        <w:rPr>
          <w:rFonts w:ascii="Times New Roman" w:hAnsi="Times New Roman" w:cs="Times New Roman" w:eastAsia="Times New Roman"/>
          <w:color w:val="000000"/>
          <w:sz w:val="22"/>
        </w:rPr>
        <w:t xml:space="preserve"> Foil theories that built the fit preoccupation: population ecology, contingency, institutional theory, liability of foreignness (p. 1460). Culture models: Hofstede, GLOBE "as is"/"should be", tightness–looseness (p. 1469). Constructive lenses: problematization, positive cross-cultural scholarship, self-determination theory, RBV and differentiation.</w:t>
      </w:r>
    </w:p>
    <w:p>
      <w:pPr>
        <w:spacing w:line="276" w:lineRule="auto" w:after="160"/>
        <w:jc w:val="both"/>
      </w:pPr>
      <w:r>
        <w:rPr>
          <w:rFonts w:ascii="Times New Roman" w:hAnsi="Times New Roman" w:cs="Times New Roman" w:eastAsia="Times New Roman"/>
          <w:b/>
          <w:i w:val="0"/>
          <w:color w:val="000000"/>
          <w:sz w:val="22"/>
        </w:rPr>
        <w:t>Method.</w:t>
      </w:r>
      <w:r>
        <w:rPr>
          <w:rFonts w:ascii="Times New Roman" w:hAnsi="Times New Roman" w:cs="Times New Roman" w:eastAsia="Times New Roman"/>
          <w:color w:val="000000"/>
          <w:sz w:val="22"/>
        </w:rPr>
        <w:t xml:space="preserve"> Scoping phase, then a keyword search of 23 journals, 1980–2020 (p. 1452). 95 empirical studies: 22 on benefits, 18 on acceptance, 14 on negative outcomes of local practices, 41 related (pp. 1452, 1455).</w:t>
      </w:r>
    </w:p>
    <w:p>
      <w:pPr>
        <w:spacing w:line="276" w:lineRule="auto" w:after="160"/>
        <w:jc w:val="both"/>
      </w:pPr>
      <w:r>
        <w:rPr>
          <w:rFonts w:ascii="Times New Roman" w:hAnsi="Times New Roman" w:cs="Times New Roman" w:eastAsia="Times New Roman"/>
          <w:b/>
          <w:i w:val="0"/>
          <w:color w:val="000000"/>
          <w:sz w:val="22"/>
        </w:rPr>
        <w:t>Findings.</w:t>
      </w:r>
    </w:p>
    <w:p>
      <w:pPr>
        <w:pStyle w:val="ListBullet"/>
        <w:spacing w:line="276" w:lineRule="auto"/>
      </w:pPr>
      <w:r>
        <w:rPr>
          <w:rFonts w:ascii="Times New Roman" w:hAnsi="Times New Roman" w:cs="Times New Roman" w:eastAsia="Times New Roman"/>
          <w:color w:val="000000"/>
          <w:sz w:val="22"/>
        </w:rPr>
        <w:t>Benefits in leadership style, HR systems and culture/climate; HPWS effects stronger in high power-distance and collectivist countries (pp. 1463–1464).</w:t>
      </w:r>
    </w:p>
    <w:p>
      <w:pPr>
        <w:pStyle w:val="ListBullet"/>
        <w:spacing w:line="276" w:lineRule="auto"/>
      </w:pPr>
      <w:r>
        <w:rPr>
          <w:rFonts w:ascii="Times New Roman" w:hAnsi="Times New Roman" w:cs="Times New Roman" w:eastAsia="Times New Roman"/>
          <w:color w:val="000000"/>
          <w:sz w:val="22"/>
        </w:rPr>
        <w:t>Acceptance: collectivist employees often prefer individual rewards; high power-distance employees welcome voice (pp. 1465–1466).</w:t>
      </w:r>
    </w:p>
    <w:p>
      <w:pPr>
        <w:pStyle w:val="ListBullet"/>
        <w:spacing w:line="276" w:lineRule="auto"/>
      </w:pPr>
      <w:r>
        <w:rPr>
          <w:rFonts w:ascii="Times New Roman" w:hAnsi="Times New Roman" w:cs="Times New Roman" w:eastAsia="Times New Roman"/>
          <w:color w:val="000000"/>
          <w:sz w:val="22"/>
        </w:rPr>
        <w:t>Rejection of local practices: guanxi-based HRM, jeitinho, nepotism (p. 1466).</w:t>
      </w:r>
    </w:p>
    <w:p>
      <w:pPr>
        <w:pStyle w:val="ListBullet"/>
        <w:spacing w:line="276" w:lineRule="auto"/>
      </w:pPr>
      <w:r>
        <w:rPr>
          <w:rFonts w:ascii="Times New Roman" w:hAnsi="Times New Roman" w:cs="Times New Roman" w:eastAsia="Times New Roman"/>
          <w:color w:val="000000"/>
          <w:sz w:val="22"/>
        </w:rPr>
        <w:t xml:space="preserve">Four explanations (Fig. 2, p. 1468): </w:t>
      </w:r>
      <w:r>
        <w:rPr>
          <w:rFonts w:ascii="Times New Roman" w:hAnsi="Times New Roman" w:cs="Times New Roman" w:eastAsia="Times New Roman"/>
          <w:b/>
          <w:i w:val="0"/>
          <w:color w:val="000000"/>
          <w:sz w:val="22"/>
        </w:rPr>
        <w:t>ontological</w:t>
      </w:r>
      <w:r>
        <w:rPr>
          <w:rFonts w:ascii="Times New Roman" w:hAnsi="Times New Roman" w:cs="Times New Roman" w:eastAsia="Times New Roman"/>
          <w:color w:val="000000"/>
          <w:sz w:val="22"/>
        </w:rPr>
        <w:t xml:space="preserve"> (culture is looser and more varied than national profiles; desired versus actual values), </w:t>
      </w:r>
      <w:r>
        <w:rPr>
          <w:rFonts w:ascii="Times New Roman" w:hAnsi="Times New Roman" w:cs="Times New Roman" w:eastAsia="Times New Roman"/>
          <w:b/>
          <w:i w:val="0"/>
          <w:color w:val="000000"/>
          <w:sz w:val="22"/>
        </w:rPr>
        <w:t>epistemological</w:t>
      </w:r>
      <w:r>
        <w:rPr>
          <w:rFonts w:ascii="Times New Roman" w:hAnsi="Times New Roman" w:cs="Times New Roman" w:eastAsia="Times New Roman"/>
          <w:color w:val="000000"/>
          <w:sz w:val="22"/>
        </w:rPr>
        <w:t xml:space="preserve"> (researchers expected fit; dichotomous standardize-or-localize logic), </w:t>
      </w:r>
      <w:r>
        <w:rPr>
          <w:rFonts w:ascii="Times New Roman" w:hAnsi="Times New Roman" w:cs="Times New Roman" w:eastAsia="Times New Roman"/>
          <w:b/>
          <w:i w:val="0"/>
          <w:color w:val="000000"/>
          <w:sz w:val="22"/>
        </w:rPr>
        <w:t>causal</w:t>
      </w:r>
      <w:r>
        <w:rPr>
          <w:rFonts w:ascii="Times New Roman" w:hAnsi="Times New Roman" w:cs="Times New Roman" w:eastAsia="Times New Roman"/>
          <w:color w:val="000000"/>
          <w:sz w:val="22"/>
        </w:rPr>
        <w:t xml:space="preserve"> (culture is not always the cause; practices can reshape culture), </w:t>
      </w:r>
      <w:r>
        <w:rPr>
          <w:rFonts w:ascii="Times New Roman" w:hAnsi="Times New Roman" w:cs="Times New Roman" w:eastAsia="Times New Roman"/>
          <w:b/>
          <w:i w:val="0"/>
          <w:color w:val="000000"/>
          <w:sz w:val="22"/>
        </w:rPr>
        <w:t>functional</w:t>
      </w:r>
      <w:r>
        <w:rPr>
          <w:rFonts w:ascii="Times New Roman" w:hAnsi="Times New Roman" w:cs="Times New Roman" w:eastAsia="Times New Roman"/>
          <w:color w:val="000000"/>
          <w:sz w:val="22"/>
        </w:rPr>
        <w:t xml:space="preserve"> (misfit as strategic differentiation).</w:t>
      </w:r>
    </w:p>
    <w:p>
      <w:pPr>
        <w:pStyle w:val="ListBullet"/>
        <w:spacing w:line="276" w:lineRule="auto"/>
      </w:pPr>
      <w:r>
        <w:rPr>
          <w:rFonts w:ascii="Times New Roman" w:hAnsi="Times New Roman" w:cs="Times New Roman" w:eastAsia="Times New Roman"/>
          <w:color w:val="000000"/>
          <w:sz w:val="22"/>
        </w:rPr>
        <w:t>Agenda: strategic intent, local preferences, institutional drivers, social responsibility (pp. 1473–1475).</w:t>
      </w:r>
    </w:p>
    <w:p>
      <w:pPr>
        <w:spacing w:line="276" w:lineRule="auto" w:after="160"/>
        <w:jc w:val="both"/>
      </w:pPr>
      <w:r>
        <w:rPr>
          <w:rFonts w:ascii="Times New Roman" w:hAnsi="Times New Roman" w:cs="Times New Roman" w:eastAsia="Times New Roman"/>
          <w:b/>
          <w:i w:val="0"/>
          <w:color w:val="000000"/>
          <w:sz w:val="22"/>
        </w:rPr>
        <w:t>Limitations.</w:t>
      </w:r>
      <w:r>
        <w:rPr>
          <w:rFonts w:ascii="Times New Roman" w:hAnsi="Times New Roman" w:cs="Times New Roman" w:eastAsia="Times New Roman"/>
          <w:color w:val="000000"/>
          <w:sz w:val="22"/>
        </w:rPr>
        <w:t xml:space="preserve"> Cultural lens only (p. 1451); file-drawer bias (p. 1455); mostly individual-level, mostly national samples (pp. 1470, 1473). </w:t>
      </w:r>
      <w:r>
        <w:rPr>
          <w:rFonts w:ascii="Times New Roman" w:hAnsi="Times New Roman" w:cs="Times New Roman" w:eastAsia="Times New Roman"/>
          <w:b w:val="0"/>
          <w:i/>
          <w:color w:val="000000"/>
          <w:sz w:val="22"/>
        </w:rPr>
        <w:t>Small inconsistency: Rabl et al. is 56 effect sizes in Table 1 (p. 1455) but 159 studies in the text (p. 1464).</w:t>
      </w:r>
    </w:p>
    <w:p>
      <w:pPr>
        <w:spacing w:line="276" w:lineRule="auto" w:after="160"/>
        <w:jc w:val="both"/>
      </w:pPr>
      <w:r>
        <w:rPr>
          <w:rFonts w:ascii="Times New Roman" w:hAnsi="Times New Roman" w:cs="Times New Roman" w:eastAsia="Times New Roman"/>
          <w:b/>
          <w:i w:val="0"/>
          <w:color w:val="000000"/>
          <w:sz w:val="22"/>
        </w:rPr>
        <w:t>Quotes.</w:t>
      </w:r>
      <w:r>
        <w:rPr>
          <w:rFonts w:ascii="Times New Roman" w:hAnsi="Times New Roman" w:cs="Times New Roman" w:eastAsia="Times New Roman"/>
          <w:color w:val="000000"/>
          <w:sz w:val="22"/>
        </w:rPr>
        <w:t xml:space="preserve"> "under certain conditions, countercultural practices </w:t>
      </w:r>
      <w:r>
        <w:rPr>
          <w:rFonts w:ascii="Times New Roman" w:hAnsi="Times New Roman" w:cs="Times New Roman" w:eastAsia="Times New Roman"/>
          <w:b w:val="0"/>
          <w:i/>
          <w:color w:val="000000"/>
          <w:sz w:val="22"/>
        </w:rPr>
        <w:t>can be</w:t>
      </w:r>
      <w:r>
        <w:rPr>
          <w:rFonts w:ascii="Times New Roman" w:hAnsi="Times New Roman" w:cs="Times New Roman" w:eastAsia="Times New Roman"/>
          <w:color w:val="000000"/>
          <w:sz w:val="22"/>
        </w:rPr>
        <w:t xml:space="preserve"> effective" (p. 1465) · "practices that are in fact a good fit with a particular (sub)culture are incorrectly cast as 'countercultural', a label rendered by researchers' overly blunt assumptions about the default culture of their study's participants" (p. 1470) · "it does not prescribe adaptation by default" (p. 1476).</w:t>
      </w:r>
    </w:p>
    <w:p>
      <w:pPr>
        <w:spacing w:line="276" w:lineRule="auto" w:after="160"/>
        <w:jc w:val="both"/>
      </w:pPr>
      <w:r>
        <w:rPr>
          <w:rFonts w:ascii="Times New Roman" w:hAnsi="Times New Roman" w:cs="Times New Roman" w:eastAsia="Times New Roman"/>
          <w:b/>
          <w:i w:val="0"/>
          <w:color w:val="000000"/>
          <w:sz w:val="22"/>
        </w:rPr>
        <w:t>Link to your work.</w:t>
      </w:r>
      <w:r>
        <w:rPr>
          <w:rFonts w:ascii="Times New Roman" w:hAnsi="Times New Roman" w:cs="Times New Roman" w:eastAsia="Times New Roman"/>
          <w:color w:val="000000"/>
          <w:sz w:val="22"/>
        </w:rPr>
        <w:t xml:space="preserve"> Samples come from "specific geographic areas, occupations, industries, organizations" (p. 1470): an auditor panel is an occupational subculture, which supports bounding by region and measuring variation within it. The epistemological explanation, researchers primed by fit reading disconfirming results as anomalies, is a field-level version of confirmation (a stretch, but a good class point). </w:t>
      </w:r>
      <w:r>
        <w:rPr>
          <w:rFonts w:ascii="Times New Roman" w:hAnsi="Times New Roman" w:cs="Times New Roman" w:eastAsia="Times New Roman"/>
          <w:b w:val="0"/>
          <w:i/>
          <w:color w:val="000000"/>
          <w:sz w:val="22"/>
        </w:rPr>
        <w:t>Newburry co-authored Chen et al. (2017), cited in Table 3.</w:t>
      </w:r>
    </w:p>
    <w:p>
      <w:pPr>
        <w:spacing w:line="276" w:lineRule="auto" w:after="160"/>
        <w:jc w:val="both"/>
      </w:pPr>
      <w:r>
        <w:rPr>
          <w:rFonts w:ascii="Times New Roman" w:hAnsi="Times New Roman" w:cs="Times New Roman" w:eastAsia="Times New Roman"/>
          <w:b/>
          <w:i w:val="0"/>
          <w:color w:val="000000"/>
          <w:sz w:val="22"/>
        </w:rPr>
        <w:t>Likely questions.</w:t>
      </w:r>
    </w:p>
    <w:p>
      <w:pPr>
        <w:pStyle w:val="ListBullet"/>
        <w:spacing w:line="276" w:lineRule="auto"/>
      </w:pPr>
      <w:r>
        <w:rPr>
          <w:rFonts w:ascii="Times New Roman" w:hAnsi="Times New Roman" w:cs="Times New Roman" w:eastAsia="Times New Roman"/>
          <w:b w:val="0"/>
          <w:i/>
          <w:color w:val="000000"/>
          <w:sz w:val="22"/>
        </w:rPr>
        <w:t>Why were countercultural practices unstudied?</w:t>
      </w:r>
      <w:r>
        <w:rPr>
          <w:rFonts w:ascii="Times New Roman" w:hAnsi="Times New Roman" w:cs="Times New Roman" w:eastAsia="Times New Roman"/>
          <w:color w:val="000000"/>
          <w:sz w:val="22"/>
        </w:rPr>
        <w:t xml:space="preserve"> The field's core theories made fit axiomatic, and early recommendations to adapt turned contrary results into anomalies (pp. 1450, 1460, 1462).</w:t>
      </w:r>
    </w:p>
    <w:p>
      <w:pPr>
        <w:pStyle w:val="ListBullet"/>
        <w:spacing w:line="276" w:lineRule="auto"/>
      </w:pPr>
      <w:r>
        <w:rPr>
          <w:rFonts w:ascii="Times New Roman" w:hAnsi="Times New Roman" w:cs="Times New Roman" w:eastAsia="Times New Roman"/>
          <w:b w:val="0"/>
          <w:i/>
          <w:color w:val="000000"/>
          <w:sz w:val="22"/>
        </w:rPr>
        <w:t>Does this license cultural imperialism?</w:t>
      </w:r>
      <w:r>
        <w:rPr>
          <w:rFonts w:ascii="Times New Roman" w:hAnsi="Times New Roman" w:cs="Times New Roman" w:eastAsia="Times New Roman"/>
          <w:color w:val="000000"/>
          <w:sz w:val="22"/>
        </w:rPr>
        <w:t xml:space="preserve"> No: the authors reject that and centre local employees' needs "as defined by themselves" (pp. 1451, 1475).</w:t>
      </w:r>
    </w:p>
    <w:p>
      <w:pPr>
        <w:pStyle w:val="Heading2"/>
      </w:pPr>
      <w:r>
        <w:rPr>
          <w:rFonts w:ascii="Times New Roman" w:hAnsi="Times New Roman" w:cs="Times New Roman" w:eastAsia="Times New Roman"/>
          <w:b/>
          <w:color w:val="000000"/>
          <w:sz w:val="24"/>
        </w:rPr>
        <w:t>2 · Bruijn, Georgallis, Albino-Pimentel, Kourula &amp; Teegen (2024). MNE–civil society interactions: A systematic review and research agenda. JIBS, 55, 136–156.</w:t>
      </w:r>
    </w:p>
    <w:p>
      <w:pPr>
        <w:spacing w:line="276" w:lineRule="auto" w:after="160"/>
        <w:jc w:val="both"/>
      </w:pPr>
      <w:r>
        <w:rPr>
          <w:rFonts w:ascii="Times New Roman" w:hAnsi="Times New Roman" w:cs="Times New Roman" w:eastAsia="Times New Roman"/>
          <w:b/>
          <w:i w:val="0"/>
          <w:color w:val="000000"/>
          <w:sz w:val="22"/>
        </w:rPr>
        <w:t>Question.</w:t>
      </w:r>
      <w:r>
        <w:rPr>
          <w:rFonts w:ascii="Times New Roman" w:hAnsi="Times New Roman" w:cs="Times New Roman" w:eastAsia="Times New Roman"/>
          <w:color w:val="000000"/>
          <w:sz w:val="22"/>
        </w:rPr>
        <w:t xml:space="preserve"> What do we know about the nature, context, antecedents, outcomes and moderators of MNE–civil society interactions, and what should IB do next (pp. 136–137)?</w:t>
      </w:r>
    </w:p>
    <w:p>
      <w:pPr>
        <w:spacing w:line="276" w:lineRule="auto" w:after="160"/>
        <w:jc w:val="both"/>
      </w:pPr>
      <w:r>
        <w:rPr>
          <w:rFonts w:ascii="Times New Roman" w:hAnsi="Times New Roman" w:cs="Times New Roman" w:eastAsia="Times New Roman"/>
          <w:b/>
          <w:i w:val="0"/>
          <w:color w:val="000000"/>
          <w:sz w:val="22"/>
        </w:rPr>
        <w:t>Gap.</w:t>
      </w:r>
      <w:r>
        <w:rPr>
          <w:rFonts w:ascii="Times New Roman" w:hAnsi="Times New Roman" w:cs="Times New Roman" w:eastAsia="Times New Roman"/>
          <w:color w:val="000000"/>
          <w:sz w:val="22"/>
        </w:rPr>
        <w:t xml:space="preserve"> The literature is spread across six disciplines, and scholars risk "an incomplete understanding of the same 'elephant'" (p. 137); few link IB theory to neighbouring fields.</w:t>
      </w:r>
    </w:p>
    <w:p>
      <w:pPr>
        <w:spacing w:line="276" w:lineRule="auto" w:after="160"/>
        <w:jc w:val="both"/>
      </w:pPr>
      <w:r>
        <w:rPr>
          <w:rFonts w:ascii="Times New Roman" w:hAnsi="Times New Roman" w:cs="Times New Roman" w:eastAsia="Times New Roman"/>
          <w:b/>
          <w:i w:val="0"/>
          <w:color w:val="000000"/>
          <w:sz w:val="22"/>
        </w:rPr>
        <w:t>Key terms.</w:t>
      </w: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color w:val="000000"/>
          <w:sz w:val="22"/>
        </w:rPr>
        <w:t>Civil society</w:t>
      </w:r>
      <w:r>
        <w:rPr>
          <w:rFonts w:ascii="Times New Roman" w:hAnsi="Times New Roman" w:cs="Times New Roman" w:eastAsia="Times New Roman"/>
          <w:color w:val="000000"/>
          <w:sz w:val="22"/>
        </w:rPr>
        <w:t xml:space="preserve">: "an area of organization, separate from both the state and the market, where individuals coalesce to take sustained action in pursuit of common interests" (p. 136); three elements, a separate sector, collective action and endurance, so one-off protests are excluded (p. 138). </w:t>
      </w:r>
      <w:r>
        <w:rPr>
          <w:rFonts w:ascii="Times New Roman" w:hAnsi="Times New Roman" w:cs="Times New Roman" w:eastAsia="Times New Roman"/>
          <w:b w:val="0"/>
          <w:i/>
          <w:color w:val="000000"/>
          <w:sz w:val="22"/>
        </w:rPr>
        <w:t>Interaction</w:t>
      </w:r>
      <w:r>
        <w:rPr>
          <w:rFonts w:ascii="Times New Roman" w:hAnsi="Times New Roman" w:cs="Times New Roman" w:eastAsia="Times New Roman"/>
          <w:color w:val="000000"/>
          <w:sz w:val="22"/>
        </w:rPr>
        <w:t xml:space="preserve">: a relational action by one actor directed at the other (p. 140), conflictual (boycotts, protests) or cooperative (donations, collaborations). </w:t>
      </w:r>
      <w:r>
        <w:rPr>
          <w:rFonts w:ascii="Times New Roman" w:hAnsi="Times New Roman" w:cs="Times New Roman" w:eastAsia="Times New Roman"/>
          <w:b w:val="0"/>
          <w:i/>
          <w:color w:val="000000"/>
          <w:sz w:val="22"/>
        </w:rPr>
        <w:t>Institutional resonance</w:t>
      </w:r>
      <w:r>
        <w:rPr>
          <w:rFonts w:ascii="Times New Roman" w:hAnsi="Times New Roman" w:cs="Times New Roman" w:eastAsia="Times New Roman"/>
          <w:color w:val="000000"/>
          <w:sz w:val="22"/>
        </w:rPr>
        <w:t xml:space="preserve"> (p. 145), </w:t>
      </w:r>
      <w:r>
        <w:rPr>
          <w:rFonts w:ascii="Times New Roman" w:hAnsi="Times New Roman" w:cs="Times New Roman" w:eastAsia="Times New Roman"/>
          <w:b w:val="0"/>
          <w:i/>
          <w:color w:val="000000"/>
          <w:sz w:val="22"/>
        </w:rPr>
        <w:t>social license to operate</w:t>
      </w:r>
      <w:r>
        <w:rPr>
          <w:rFonts w:ascii="Times New Roman" w:hAnsi="Times New Roman" w:cs="Times New Roman" w:eastAsia="Times New Roman"/>
          <w:color w:val="000000"/>
          <w:sz w:val="22"/>
        </w:rPr>
        <w:t xml:space="preserve"> (p. 145), </w:t>
      </w:r>
      <w:r>
        <w:rPr>
          <w:rFonts w:ascii="Times New Roman" w:hAnsi="Times New Roman" w:cs="Times New Roman" w:eastAsia="Times New Roman"/>
          <w:b w:val="0"/>
          <w:i/>
          <w:color w:val="000000"/>
          <w:sz w:val="22"/>
        </w:rPr>
        <w:t>astroturfing</w:t>
      </w:r>
      <w:r>
        <w:rPr>
          <w:rFonts w:ascii="Times New Roman" w:hAnsi="Times New Roman" w:cs="Times New Roman" w:eastAsia="Times New Roman"/>
          <w:color w:val="000000"/>
          <w:sz w:val="22"/>
        </w:rPr>
        <w:t xml:space="preserve"> (p. 146), </w:t>
      </w:r>
      <w:r>
        <w:rPr>
          <w:rFonts w:ascii="Times New Roman" w:hAnsi="Times New Roman" w:cs="Times New Roman" w:eastAsia="Times New Roman"/>
          <w:b w:val="0"/>
          <w:i/>
          <w:color w:val="000000"/>
          <w:sz w:val="22"/>
        </w:rPr>
        <w:t>moral markets</w:t>
      </w:r>
      <w:r>
        <w:rPr>
          <w:rFonts w:ascii="Times New Roman" w:hAnsi="Times New Roman" w:cs="Times New Roman" w:eastAsia="Times New Roman"/>
          <w:color w:val="000000"/>
          <w:sz w:val="22"/>
        </w:rPr>
        <w:t xml:space="preserve"> (p. 152).</w:t>
      </w:r>
    </w:p>
    <w:p>
      <w:pPr>
        <w:spacing w:line="276" w:lineRule="auto" w:after="160"/>
        <w:jc w:val="both"/>
      </w:pPr>
      <w:r>
        <w:rPr>
          <w:rFonts w:ascii="Times New Roman" w:hAnsi="Times New Roman" w:cs="Times New Roman" w:eastAsia="Times New Roman"/>
          <w:b/>
          <w:i w:val="0"/>
          <w:color w:val="000000"/>
          <w:sz w:val="22"/>
        </w:rPr>
        <w:t>Method.</w:t>
      </w:r>
      <w:r>
        <w:rPr>
          <w:rFonts w:ascii="Times New Roman" w:hAnsi="Times New Roman" w:cs="Times New Roman" w:eastAsia="Times New Roman"/>
          <w:color w:val="000000"/>
          <w:sz w:val="22"/>
        </w:rPr>
        <w:t xml:space="preserve"> Scopus and Web of Science, five journal categories, 1990–2020; 1,372 hits cut to </w:t>
      </w:r>
      <w:r>
        <w:rPr>
          <w:rFonts w:ascii="Times New Roman" w:hAnsi="Times New Roman" w:cs="Times New Roman" w:eastAsia="Times New Roman"/>
          <w:b/>
          <w:i w:val="0"/>
          <w:color w:val="000000"/>
          <w:sz w:val="22"/>
        </w:rPr>
        <w:t>166 articles in 41 journals</w:t>
      </w:r>
      <w:r>
        <w:rPr>
          <w:rFonts w:ascii="Times New Roman" w:hAnsi="Times New Roman" w:cs="Times New Roman" w:eastAsia="Times New Roman"/>
          <w:color w:val="000000"/>
          <w:sz w:val="22"/>
        </w:rPr>
        <w:t xml:space="preserve">; strict inclusion: an MNE, a civil-society actor and a relational action (pp. 137, 139). 109 empirical articles coded: 73.4% qualitative, 22.9% quantitative, 3.7% mixed (pp. 140–142). </w:t>
      </w:r>
      <w:r>
        <w:rPr>
          <w:rFonts w:ascii="Times New Roman" w:hAnsi="Times New Roman" w:cs="Times New Roman" w:eastAsia="Times New Roman"/>
          <w:b/>
          <w:i w:val="0"/>
          <w:color w:val="000000"/>
          <w:sz w:val="22"/>
        </w:rPr>
        <w:t>Benchmark against practice using GDELT event data</w:t>
      </w:r>
      <w:r>
        <w:rPr>
          <w:rFonts w:ascii="Times New Roman" w:hAnsi="Times New Roman" w:cs="Times New Roman" w:eastAsia="Times New Roman"/>
          <w:color w:val="000000"/>
          <w:sz w:val="22"/>
        </w:rPr>
        <w:t xml:space="preserve"> (p. 143).</w:t>
      </w:r>
    </w:p>
    <w:p>
      <w:pPr>
        <w:spacing w:line="276" w:lineRule="auto" w:after="160"/>
        <w:jc w:val="both"/>
      </w:pPr>
      <w:r>
        <w:rPr>
          <w:rFonts w:ascii="Times New Roman" w:hAnsi="Times New Roman" w:cs="Times New Roman" w:eastAsia="Times New Roman"/>
          <w:b/>
          <w:i w:val="0"/>
          <w:color w:val="000000"/>
          <w:sz w:val="22"/>
        </w:rPr>
        <w:t>Theory mix (Table 2, p. 142).</w:t>
      </w:r>
      <w:r>
        <w:rPr>
          <w:rFonts w:ascii="Times New Roman" w:hAnsi="Times New Roman" w:cs="Times New Roman" w:eastAsia="Times New Roman"/>
          <w:color w:val="000000"/>
          <w:sz w:val="22"/>
        </w:rPr>
        <w:t xml:space="preserve"> Institutional 18.2%, stakeholder 15.3%, sociological 11.3%, strategy 8.4%, political science 7.9%, </w:t>
      </w:r>
      <w:r>
        <w:rPr>
          <w:rFonts w:ascii="Times New Roman" w:hAnsi="Times New Roman" w:cs="Times New Roman" w:eastAsia="Times New Roman"/>
          <w:b/>
          <w:i w:val="0"/>
          <w:color w:val="000000"/>
          <w:sz w:val="22"/>
        </w:rPr>
        <w:t>IB only 5.4%</w:t>
      </w:r>
      <w:r>
        <w:rPr>
          <w:rFonts w:ascii="Times New Roman" w:hAnsi="Times New Roman" w:cs="Times New Roman" w:eastAsia="Times New Roman"/>
          <w:color w:val="000000"/>
          <w:sz w:val="22"/>
        </w:rPr>
        <w:t>, no explicit theory 17.7%.</w:t>
      </w:r>
    </w:p>
    <w:p>
      <w:pPr>
        <w:spacing w:line="276" w:lineRule="auto" w:after="160"/>
        <w:jc w:val="both"/>
      </w:pPr>
      <w:r>
        <w:rPr>
          <w:rFonts w:ascii="Times New Roman" w:hAnsi="Times New Roman" w:cs="Times New Roman" w:eastAsia="Times New Roman"/>
          <w:b/>
          <w:i w:val="0"/>
          <w:color w:val="000000"/>
          <w:sz w:val="22"/>
        </w:rPr>
        <w:t>Findings.</w:t>
      </w:r>
    </w:p>
    <w:p>
      <w:pPr>
        <w:pStyle w:val="ListBullet"/>
        <w:spacing w:line="276" w:lineRule="auto"/>
      </w:pPr>
      <w:r>
        <w:rPr>
          <w:rFonts w:ascii="Times New Roman" w:hAnsi="Times New Roman" w:cs="Times New Roman" w:eastAsia="Times New Roman"/>
          <w:color w:val="000000"/>
          <w:sz w:val="22"/>
        </w:rPr>
        <w:t>Growth after 2008; two-thirds in 2010–2020 (p. 141).</w:t>
      </w:r>
    </w:p>
    <w:p>
      <w:pPr>
        <w:pStyle w:val="ListBullet"/>
        <w:spacing w:line="276" w:lineRule="auto"/>
      </w:pPr>
      <w:r>
        <w:rPr>
          <w:rFonts w:ascii="Times New Roman" w:hAnsi="Times New Roman" w:cs="Times New Roman" w:eastAsia="Times New Roman"/>
          <w:color w:val="000000"/>
          <w:sz w:val="22"/>
        </w:rPr>
        <w:t>Conflict and cooperation studied about equally; 8% study both (p. 142).</w:t>
      </w:r>
    </w:p>
    <w:p>
      <w:pPr>
        <w:pStyle w:val="ListBullet"/>
        <w:spacing w:line="276" w:lineRule="auto"/>
      </w:pPr>
      <w:r>
        <w:rPr>
          <w:rFonts w:ascii="Times New Roman" w:hAnsi="Times New Roman" w:cs="Times New Roman" w:eastAsia="Times New Roman"/>
          <w:color w:val="000000"/>
          <w:sz w:val="22"/>
        </w:rPr>
        <w:t>Host country in about 52%; developing economies 61.2%; raw materials, consumer, food and energy; environment 52.3%, labour 33.9% (p. 143).</w:t>
      </w:r>
    </w:p>
    <w:p>
      <w:pPr>
        <w:pStyle w:val="ListBullet"/>
        <w:spacing w:line="276" w:lineRule="auto"/>
      </w:pPr>
      <w:r>
        <w:rPr>
          <w:rFonts w:ascii="Times New Roman" w:hAnsi="Times New Roman" w:cs="Times New Roman" w:eastAsia="Times New Roman"/>
          <w:b/>
          <w:i w:val="0"/>
          <w:color w:val="000000"/>
          <w:sz w:val="22"/>
        </w:rPr>
        <w:t>US, China and India over-studied; Canada, Chile and Indonesia under-studied relative to GDELT</w:t>
      </w:r>
      <w:r>
        <w:rPr>
          <w:rFonts w:ascii="Times New Roman" w:hAnsi="Times New Roman" w:cs="Times New Roman" w:eastAsia="Times New Roman"/>
          <w:color w:val="000000"/>
          <w:sz w:val="22"/>
        </w:rPr>
        <w:t xml:space="preserve"> (pp. 143–144).</w:t>
      </w:r>
    </w:p>
    <w:p>
      <w:pPr>
        <w:pStyle w:val="ListBullet"/>
        <w:spacing w:line="276" w:lineRule="auto"/>
      </w:pPr>
      <w:r>
        <w:rPr>
          <w:rFonts w:ascii="Times New Roman" w:hAnsi="Times New Roman" w:cs="Times New Roman" w:eastAsia="Times New Roman"/>
          <w:color w:val="000000"/>
          <w:sz w:val="22"/>
        </w:rPr>
        <w:t>Antecedents of conflict: societal impact, prominence, weak institutional resonance; of cooperation: legitimacy and resource needs, risk management (pp. 144–145).</w:t>
      </w:r>
    </w:p>
    <w:p>
      <w:pPr>
        <w:pStyle w:val="ListBullet"/>
        <w:spacing w:line="276" w:lineRule="auto"/>
      </w:pPr>
      <w:r>
        <w:rPr>
          <w:rFonts w:ascii="Times New Roman" w:hAnsi="Times New Roman" w:cs="Times New Roman" w:eastAsia="Times New Roman"/>
          <w:color w:val="000000"/>
          <w:sz w:val="22"/>
        </w:rPr>
        <w:t>Societal outcomes rarely measured (pp. 145–146).</w:t>
      </w:r>
    </w:p>
    <w:p>
      <w:pPr>
        <w:spacing w:line="276" w:lineRule="auto" w:after="160"/>
        <w:jc w:val="both"/>
      </w:pPr>
      <w:r>
        <w:rPr>
          <w:rFonts w:ascii="Times New Roman" w:hAnsi="Times New Roman" w:cs="Times New Roman" w:eastAsia="Times New Roman"/>
          <w:b/>
          <w:i w:val="0"/>
          <w:color w:val="000000"/>
          <w:sz w:val="22"/>
        </w:rPr>
        <w:t>Agenda (Table 3, p. 149).</w:t>
      </w:r>
      <w:r>
        <w:rPr>
          <w:rFonts w:ascii="Times New Roman" w:hAnsi="Times New Roman" w:cs="Times New Roman" w:eastAsia="Times New Roman"/>
          <w:color w:val="000000"/>
          <w:sz w:val="22"/>
        </w:rPr>
        <w:t xml:space="preserve"> Broaden contexts; country-level institutional and cultural antecedents; MNE learning and the time limits of legitimacy; societal outcomes. Proposed IB lenses: CSA/FSA, liability of foreignness, the bargaining model, integration–responsiveness (pp. 150–152).</w:t>
      </w:r>
    </w:p>
    <w:p>
      <w:pPr>
        <w:spacing w:line="276" w:lineRule="auto" w:after="160"/>
        <w:jc w:val="both"/>
      </w:pPr>
      <w:r>
        <w:rPr>
          <w:rFonts w:ascii="Times New Roman" w:hAnsi="Times New Roman" w:cs="Times New Roman" w:eastAsia="Times New Roman"/>
          <w:b/>
          <w:i w:val="0"/>
          <w:color w:val="000000"/>
          <w:sz w:val="22"/>
        </w:rPr>
        <w:t>Quotes.</w:t>
      </w:r>
      <w:r>
        <w:rPr>
          <w:rFonts w:ascii="Times New Roman" w:hAnsi="Times New Roman" w:cs="Times New Roman" w:eastAsia="Times New Roman"/>
          <w:color w:val="000000"/>
          <w:sz w:val="22"/>
        </w:rPr>
        <w:t xml:space="preserve"> "an incomplete understanding of the same 'elephant'" (p. 137) · "the interactions examined in the reviewed literature are not fully representative of actual interactions in practice (data from GDELT), which suggests conscious or unconscious bias in authors' selections of sites" (p. 143) · "expand the contexts studied beyond the 'usual suspect' countries" (p. 150).</w:t>
      </w:r>
    </w:p>
    <w:p>
      <w:pPr>
        <w:spacing w:line="276" w:lineRule="auto" w:after="160"/>
        <w:jc w:val="both"/>
      </w:pPr>
      <w:r>
        <w:rPr>
          <w:rFonts w:ascii="Times New Roman" w:hAnsi="Times New Roman" w:cs="Times New Roman" w:eastAsia="Times New Roman"/>
          <w:b/>
          <w:i w:val="0"/>
          <w:color w:val="000000"/>
          <w:sz w:val="22"/>
        </w:rPr>
        <w:t>Link to your work (strongest of the four).</w:t>
      </w:r>
      <w:r>
        <w:rPr>
          <w:rFonts w:ascii="Times New Roman" w:hAnsi="Times New Roman" w:cs="Times New Roman" w:eastAsia="Times New Roman"/>
          <w:color w:val="000000"/>
          <w:sz w:val="22"/>
        </w:rPr>
        <w:t xml:space="preserve"> The GDELT check compares where research samples against where the phenomenon actually occurs. That is the same test as your H3: stated versus achieved coverage. Cite it next to Lopez, Kundu and Ciravegna.</w:t>
      </w:r>
    </w:p>
    <w:p>
      <w:pPr>
        <w:spacing w:line="276" w:lineRule="auto" w:after="160"/>
        <w:jc w:val="both"/>
      </w:pPr>
      <w:r>
        <w:rPr>
          <w:rFonts w:ascii="Times New Roman" w:hAnsi="Times New Roman" w:cs="Times New Roman" w:eastAsia="Times New Roman"/>
          <w:b/>
          <w:i w:val="0"/>
          <w:color w:val="000000"/>
          <w:sz w:val="22"/>
        </w:rPr>
        <w:t>Likely questions.</w:t>
      </w:r>
    </w:p>
    <w:p>
      <w:pPr>
        <w:pStyle w:val="ListBullet"/>
        <w:spacing w:line="276" w:lineRule="auto"/>
      </w:pPr>
      <w:r>
        <w:rPr>
          <w:rFonts w:ascii="Times New Roman" w:hAnsi="Times New Roman" w:cs="Times New Roman" w:eastAsia="Times New Roman"/>
          <w:b w:val="0"/>
          <w:i/>
          <w:color w:val="000000"/>
          <w:sz w:val="22"/>
        </w:rPr>
        <w:t>Why is the conflict explanation "rather narrow"?</w:t>
      </w:r>
      <w:r>
        <w:rPr>
          <w:rFonts w:ascii="Times New Roman" w:hAnsi="Times New Roman" w:cs="Times New Roman" w:eastAsia="Times New Roman"/>
          <w:color w:val="000000"/>
          <w:sz w:val="22"/>
        </w:rPr>
        <w:t xml:space="preserve"> Studies trace conflict to MNE harm, but activists "do not always target the most egregious offenders" (p. 148); the authors propose institutional and cultural antecedents (pp. 150–151).</w:t>
      </w:r>
    </w:p>
    <w:p>
      <w:pPr>
        <w:pStyle w:val="ListBullet"/>
        <w:spacing w:line="276" w:lineRule="auto"/>
      </w:pPr>
      <w:r>
        <w:rPr>
          <w:rFonts w:ascii="Times New Roman" w:hAnsi="Times New Roman" w:cs="Times New Roman" w:eastAsia="Times New Roman"/>
          <w:b w:val="0"/>
          <w:i/>
          <w:color w:val="000000"/>
          <w:sz w:val="22"/>
        </w:rPr>
        <w:t>Why so little IB theory?</w:t>
      </w:r>
      <w:r>
        <w:rPr>
          <w:rFonts w:ascii="Times New Roman" w:hAnsi="Times New Roman" w:cs="Times New Roman" w:eastAsia="Times New Roman"/>
          <w:color w:val="000000"/>
          <w:sz w:val="22"/>
        </w:rPr>
        <w:t xml:space="preserve"> IB is "very self-reliant and self-referencing" (p. 148); recast civil-society ties as firm-specific advantages, offsets to liability of foreignness, or a party in the bargaining model (pp. 151–152).</w:t>
      </w:r>
    </w:p>
    <w:p>
      <w:pPr>
        <w:pStyle w:val="Heading2"/>
      </w:pPr>
      <w:r>
        <w:rPr>
          <w:rFonts w:ascii="Times New Roman" w:hAnsi="Times New Roman" w:cs="Times New Roman" w:eastAsia="Times New Roman"/>
          <w:b/>
          <w:color w:val="000000"/>
          <w:sz w:val="24"/>
        </w:rPr>
        <w:t>3 · Thams, Dau, Doh, Kostova &amp; Newburry (2025). Political ideology and the multinational enterprise: Broadening the epistemological lens. Journal of World Business, 60, 101678.</w:t>
      </w:r>
    </w:p>
    <w:p>
      <w:pPr>
        <w:spacing w:line="276" w:lineRule="auto" w:after="160"/>
        <w:jc w:val="both"/>
      </w:pPr>
      <w:r>
        <w:rPr>
          <w:rFonts w:ascii="Times New Roman" w:hAnsi="Times New Roman" w:cs="Times New Roman" w:eastAsia="Times New Roman"/>
          <w:b/>
          <w:i w:val="0"/>
          <w:color w:val="000000"/>
          <w:sz w:val="22"/>
        </w:rPr>
        <w:t>Newburry is fifth author; Dau is the corresponding author (p. 1). Expect him to test whether you read it closely.</w:t>
      </w:r>
    </w:p>
    <w:p>
      <w:pPr>
        <w:spacing w:line="276" w:lineRule="auto" w:after="160"/>
        <w:jc w:val="both"/>
      </w:pPr>
      <w:r>
        <w:rPr>
          <w:rFonts w:ascii="Times New Roman" w:hAnsi="Times New Roman" w:cs="Times New Roman" w:eastAsia="Times New Roman"/>
          <w:b/>
          <w:i w:val="0"/>
          <w:color w:val="000000"/>
          <w:sz w:val="22"/>
        </w:rPr>
        <w:t>Question.</w:t>
      </w:r>
      <w:r>
        <w:rPr>
          <w:rFonts w:ascii="Times New Roman" w:hAnsi="Times New Roman" w:cs="Times New Roman" w:eastAsia="Times New Roman"/>
          <w:color w:val="000000"/>
          <w:sz w:val="22"/>
        </w:rPr>
        <w:t xml:space="preserve"> How does political ideology form and play out inside MNEs and their settings, and how does it shape strategy, operations and social impact (p. 1)?</w:t>
      </w:r>
    </w:p>
    <w:p>
      <w:pPr>
        <w:spacing w:line="276" w:lineRule="auto" w:after="160"/>
        <w:jc w:val="both"/>
      </w:pPr>
      <w:r>
        <w:rPr>
          <w:rFonts w:ascii="Times New Roman" w:hAnsi="Times New Roman" w:cs="Times New Roman" w:eastAsia="Times New Roman"/>
          <w:b/>
          <w:i w:val="0"/>
          <w:color w:val="000000"/>
          <w:sz w:val="22"/>
        </w:rPr>
        <w:t>Gap.</w:t>
      </w:r>
      <w:r>
        <w:rPr>
          <w:rFonts w:ascii="Times New Roman" w:hAnsi="Times New Roman" w:cs="Times New Roman" w:eastAsia="Times New Roman"/>
          <w:color w:val="000000"/>
          <w:sz w:val="22"/>
        </w:rPr>
        <w:t xml:space="preserve"> Ideology research is "largely under-contextualized", U.S.-centric and tied to the liberal/conservative spectrum; it ignores the many ideological forces MNEs face; and there is "minimal work that presents a rigorous theoretical foundation" (pp. 2–3).</w:t>
      </w:r>
    </w:p>
    <w:p>
      <w:pPr>
        <w:spacing w:line="276" w:lineRule="auto" w:after="160"/>
        <w:jc w:val="both"/>
      </w:pPr>
      <w:r>
        <w:rPr>
          <w:rFonts w:ascii="Times New Roman" w:hAnsi="Times New Roman" w:cs="Times New Roman" w:eastAsia="Times New Roman"/>
          <w:b/>
          <w:i w:val="0"/>
          <w:color w:val="000000"/>
          <w:sz w:val="22"/>
        </w:rPr>
        <w:t>Key terms.</w:t>
      </w: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color w:val="000000"/>
          <w:sz w:val="22"/>
        </w:rPr>
        <w:t>Political ideology</w:t>
      </w:r>
      <w:r>
        <w:rPr>
          <w:rFonts w:ascii="Times New Roman" w:hAnsi="Times New Roman" w:cs="Times New Roman" w:eastAsia="Times New Roman"/>
          <w:color w:val="000000"/>
          <w:sz w:val="22"/>
        </w:rPr>
        <w:t xml:space="preserve">: "widely shared and deeply held beliefs regarding how a society ought to be structured" (p. 2). </w:t>
      </w:r>
      <w:r>
        <w:rPr>
          <w:rFonts w:ascii="Times New Roman" w:hAnsi="Times New Roman" w:cs="Times New Roman" w:eastAsia="Times New Roman"/>
          <w:b w:val="0"/>
          <w:i/>
          <w:color w:val="000000"/>
          <w:sz w:val="22"/>
        </w:rPr>
        <w:t>Organizational political ideology</w:t>
      </w:r>
      <w:r>
        <w:rPr>
          <w:rFonts w:ascii="Times New Roman" w:hAnsi="Times New Roman" w:cs="Times New Roman" w:eastAsia="Times New Roman"/>
          <w:color w:val="000000"/>
          <w:sz w:val="22"/>
        </w:rPr>
        <w:t xml:space="preserve">: "an enduring and lasting set of political beliefs and worldviews" held by members (p. 5). </w:t>
      </w:r>
      <w:r>
        <w:rPr>
          <w:rFonts w:ascii="Times New Roman" w:hAnsi="Times New Roman" w:cs="Times New Roman" w:eastAsia="Times New Roman"/>
          <w:b w:val="0"/>
          <w:i/>
          <w:color w:val="000000"/>
          <w:sz w:val="22"/>
        </w:rPr>
        <w:t>Multiplicity, relationality, dynamism</w:t>
      </w:r>
      <w:r>
        <w:rPr>
          <w:rFonts w:ascii="Times New Roman" w:hAnsi="Times New Roman" w:cs="Times New Roman" w:eastAsia="Times New Roman"/>
          <w:color w:val="000000"/>
          <w:sz w:val="22"/>
        </w:rPr>
        <w:t xml:space="preserve"> (from Eden &amp; Nielsen, p. 5). </w:t>
      </w:r>
      <w:r>
        <w:rPr>
          <w:rFonts w:ascii="Times New Roman" w:hAnsi="Times New Roman" w:cs="Times New Roman" w:eastAsia="Times New Roman"/>
          <w:b w:val="0"/>
          <w:i/>
          <w:color w:val="000000"/>
          <w:sz w:val="22"/>
        </w:rPr>
        <w:t>Ideological congruence/incongruence</w:t>
      </w:r>
      <w:r>
        <w:rPr>
          <w:rFonts w:ascii="Times New Roman" w:hAnsi="Times New Roman" w:cs="Times New Roman" w:eastAsia="Times New Roman"/>
          <w:color w:val="000000"/>
          <w:sz w:val="22"/>
        </w:rPr>
        <w:t xml:space="preserve"> (p. 7). </w:t>
      </w:r>
      <w:r>
        <w:rPr>
          <w:rFonts w:ascii="Times New Roman" w:hAnsi="Times New Roman" w:cs="Times New Roman" w:eastAsia="Times New Roman"/>
          <w:b w:val="0"/>
          <w:i/>
          <w:color w:val="000000"/>
          <w:sz w:val="22"/>
        </w:rPr>
        <w:t>MNEs as ideological agents</w:t>
      </w:r>
      <w:r>
        <w:rPr>
          <w:rFonts w:ascii="Times New Roman" w:hAnsi="Times New Roman" w:cs="Times New Roman" w:eastAsia="Times New Roman"/>
          <w:color w:val="000000"/>
          <w:sz w:val="22"/>
        </w:rPr>
        <w:t>, "vehicles for the diffusion of political ideologies" (p. 6).</w:t>
      </w:r>
    </w:p>
    <w:p>
      <w:pPr>
        <w:spacing w:line="276" w:lineRule="auto" w:after="160"/>
        <w:jc w:val="both"/>
      </w:pPr>
      <w:r>
        <w:rPr>
          <w:rFonts w:ascii="Times New Roman" w:hAnsi="Times New Roman" w:cs="Times New Roman" w:eastAsia="Times New Roman"/>
          <w:b/>
          <w:i w:val="0"/>
          <w:color w:val="000000"/>
          <w:sz w:val="22"/>
        </w:rPr>
        <w:t>Theory.</w:t>
      </w:r>
      <w:r>
        <w:rPr>
          <w:rFonts w:ascii="Times New Roman" w:hAnsi="Times New Roman" w:cs="Times New Roman" w:eastAsia="Times New Roman"/>
          <w:color w:val="000000"/>
          <w:sz w:val="22"/>
        </w:rPr>
        <w:t xml:space="preserve"> Weber and Marx on ideology (p. 1); motivated cognition and the logic of appropriateness (p. 3); Attraction-Selection-Attrition (p. 5). Applied to institutional theory, resource dependence, RBV/VRIO (Patagonia), knowledge-based view, TCE and internalization ("double-edged sword") and upper echelons (pp. 7–9). The "epistemological lens" is a call to relax the rational-actor view and borrow from political science (p. 9).</w:t>
      </w:r>
    </w:p>
    <w:p>
      <w:pPr>
        <w:spacing w:line="276" w:lineRule="auto" w:after="160"/>
        <w:jc w:val="both"/>
      </w:pPr>
      <w:r>
        <w:rPr>
          <w:rFonts w:ascii="Times New Roman" w:hAnsi="Times New Roman" w:cs="Times New Roman" w:eastAsia="Times New Roman"/>
          <w:b/>
          <w:i w:val="0"/>
          <w:color w:val="000000"/>
          <w:sz w:val="22"/>
        </w:rPr>
        <w:t>Method.</w:t>
      </w:r>
      <w:r>
        <w:rPr>
          <w:rFonts w:ascii="Times New Roman" w:hAnsi="Times New Roman" w:cs="Times New Roman" w:eastAsia="Times New Roman"/>
          <w:color w:val="000000"/>
          <w:sz w:val="22"/>
        </w:rPr>
        <w:t xml:space="preserve"> Conceptual perspective; "No data was used" (p. 9).</w:t>
      </w:r>
    </w:p>
    <w:p>
      <w:pPr>
        <w:spacing w:line="276" w:lineRule="auto" w:after="160"/>
        <w:jc w:val="both"/>
      </w:pPr>
      <w:r>
        <w:rPr>
          <w:rFonts w:ascii="Times New Roman" w:hAnsi="Times New Roman" w:cs="Times New Roman" w:eastAsia="Times New Roman"/>
          <w:b/>
          <w:i w:val="0"/>
          <w:color w:val="000000"/>
          <w:sz w:val="22"/>
        </w:rPr>
        <w:t>Framework (Fig. 1, p. 8).</w:t>
      </w: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color w:val="000000"/>
          <w:sz w:val="22"/>
        </w:rPr>
        <w:t>Context</w:t>
      </w:r>
      <w:r>
        <w:rPr>
          <w:rFonts w:ascii="Times New Roman" w:hAnsi="Times New Roman" w:cs="Times New Roman" w:eastAsia="Times New Roman"/>
          <w:color w:val="000000"/>
          <w:sz w:val="22"/>
        </w:rPr>
        <w:t xml:space="preserve"> (levels from supranational to founder; dimensions liberal/conservative, left/right, socialism/capitalism, democracy/autocracy, tight/loose, congruence, homogeneous/diverse) → </w:t>
      </w:r>
      <w:r>
        <w:rPr>
          <w:rFonts w:ascii="Times New Roman" w:hAnsi="Times New Roman" w:cs="Times New Roman" w:eastAsia="Times New Roman"/>
          <w:b w:val="0"/>
          <w:i/>
          <w:color w:val="000000"/>
          <w:sz w:val="22"/>
        </w:rPr>
        <w:t>Mechanisms</w:t>
      </w:r>
      <w:r>
        <w:rPr>
          <w:rFonts w:ascii="Times New Roman" w:hAnsi="Times New Roman" w:cs="Times New Roman" w:eastAsia="Times New Roman"/>
          <w:color w:val="000000"/>
          <w:sz w:val="22"/>
        </w:rPr>
        <w:t xml:space="preserve"> (cognitive biases, risk perception, information processing, identity, compliance, legitimacy, values, goals) → </w:t>
      </w:r>
      <w:r>
        <w:rPr>
          <w:rFonts w:ascii="Times New Roman" w:hAnsi="Times New Roman" w:cs="Times New Roman" w:eastAsia="Times New Roman"/>
          <w:b w:val="0"/>
          <w:i/>
          <w:color w:val="000000"/>
          <w:sz w:val="22"/>
        </w:rPr>
        <w:t>Impacts</w:t>
      </w:r>
      <w:r>
        <w:rPr>
          <w:rFonts w:ascii="Times New Roman" w:hAnsi="Times New Roman" w:cs="Times New Roman" w:eastAsia="Times New Roman"/>
          <w:color w:val="000000"/>
          <w:sz w:val="22"/>
        </w:rPr>
        <w:t xml:space="preserve"> (market and nonmarket strategy, internal organization, social impact), with a </w:t>
      </w:r>
      <w:r>
        <w:rPr>
          <w:rFonts w:ascii="Times New Roman" w:hAnsi="Times New Roman" w:cs="Times New Roman" w:eastAsia="Times New Roman"/>
          <w:b/>
          <w:i w:val="0"/>
          <w:color w:val="000000"/>
          <w:sz w:val="22"/>
        </w:rPr>
        <w:t>feedback arrow from impacts back to context</w:t>
      </w:r>
      <w:r>
        <w:rPr>
          <w:rFonts w:ascii="Times New Roman" w:hAnsi="Times New Roman" w:cs="Times New Roman" w:eastAsia="Times New Roman"/>
          <w:color w:val="000000"/>
          <w:sz w:val="22"/>
        </w:rPr>
        <w:t>, which is what "reflexive" means.</w:t>
      </w:r>
    </w:p>
    <w:p>
      <w:pPr>
        <w:spacing w:line="276" w:lineRule="auto" w:after="160"/>
        <w:jc w:val="both"/>
      </w:pPr>
      <w:r>
        <w:rPr>
          <w:rFonts w:ascii="Times New Roman" w:hAnsi="Times New Roman" w:cs="Times New Roman" w:eastAsia="Times New Roman"/>
          <w:b/>
          <w:i w:val="0"/>
          <w:color w:val="000000"/>
          <w:sz w:val="22"/>
        </w:rPr>
        <w:t>Five insights (pp. 5, 7).</w:t>
      </w:r>
      <w:r>
        <w:rPr>
          <w:rFonts w:ascii="Times New Roman" w:hAnsi="Times New Roman" w:cs="Times New Roman" w:eastAsia="Times New Roman"/>
          <w:color w:val="000000"/>
          <w:sz w:val="22"/>
        </w:rPr>
        <w:t xml:space="preserve"> Differentiate the concept beyond the U.S.; match the level to the question; study the multiple ideologies MNEs carry; go beyond economic models of internationalization; study societal as well as strategic impact.</w:t>
      </w:r>
    </w:p>
    <w:p>
      <w:pPr>
        <w:spacing w:line="276" w:lineRule="auto" w:after="160"/>
        <w:jc w:val="both"/>
      </w:pPr>
      <w:r>
        <w:rPr>
          <w:rFonts w:ascii="Times New Roman" w:hAnsi="Times New Roman" w:cs="Times New Roman" w:eastAsia="Times New Roman"/>
          <w:b/>
          <w:i w:val="0"/>
          <w:color w:val="000000"/>
          <w:sz w:val="22"/>
        </w:rPr>
        <w:t>Measurement problem (p. 7).</w:t>
      </w:r>
      <w:r>
        <w:rPr>
          <w:rFonts w:ascii="Times New Roman" w:hAnsi="Times New Roman" w:cs="Times New Roman" w:eastAsia="Times New Roman"/>
          <w:color w:val="000000"/>
          <w:sz w:val="22"/>
        </w:rPr>
        <w:t xml:space="preserve"> Countries are measured categorically (parties) and executives continuously (donations); fixes include rescaling, factor-analytic indices and content analysis of "tone".</w:t>
      </w:r>
    </w:p>
    <w:p>
      <w:pPr>
        <w:spacing w:line="276" w:lineRule="auto" w:after="160"/>
        <w:jc w:val="both"/>
      </w:pPr>
      <w:r>
        <w:rPr>
          <w:rFonts w:ascii="Times New Roman" w:hAnsi="Times New Roman" w:cs="Times New Roman" w:eastAsia="Times New Roman"/>
          <w:b/>
          <w:i w:val="0"/>
          <w:color w:val="000000"/>
          <w:sz w:val="22"/>
        </w:rPr>
        <w:t>Quotes.</w:t>
      </w:r>
      <w:r>
        <w:rPr>
          <w:rFonts w:ascii="Times New Roman" w:hAnsi="Times New Roman" w:cs="Times New Roman" w:eastAsia="Times New Roman"/>
          <w:color w:val="000000"/>
          <w:sz w:val="22"/>
        </w:rPr>
        <w:t xml:space="preserve"> "managing in the context of an MNE is not ideologically neutral" (p. 7) · "research in this realm is largely under-contextualized" (p. 2) · ideology "can provide a 'double-edged sword': it can benefit or cost companies" (p. 9).</w:t>
      </w:r>
    </w:p>
    <w:p>
      <w:pPr>
        <w:spacing w:line="276" w:lineRule="auto" w:after="160"/>
        <w:jc w:val="both"/>
      </w:pPr>
      <w:r>
        <w:rPr>
          <w:rFonts w:ascii="Times New Roman" w:hAnsi="Times New Roman" w:cs="Times New Roman" w:eastAsia="Times New Roman"/>
          <w:b/>
          <w:i w:val="0"/>
          <w:color w:val="000000"/>
          <w:sz w:val="22"/>
        </w:rPr>
        <w:t>Link to your work.</w:t>
      </w:r>
      <w:r>
        <w:rPr>
          <w:rFonts w:ascii="Times New Roman" w:hAnsi="Times New Roman" w:cs="Times New Roman" w:eastAsia="Times New Roman"/>
          <w:color w:val="000000"/>
          <w:sz w:val="22"/>
        </w:rPr>
        <w:t xml:space="preserve"> Chin et al. (2021) adapted a U.S.-validated survey for Iran and it still missed local factors (p. 4): measurement equivalence across cultures, your H5 territory. Piurko et al.: "right" and "left" cohere in liberal and traditional countries but not post-communist ones (p. 4), support for bounding by institutional cluster. The paper lists ideology as "a form of cognitive bias" (p. 1): a parallel to prior beliefs filtering judgment, but a stretch for audit.</w:t>
      </w:r>
    </w:p>
    <w:p>
      <w:pPr>
        <w:spacing w:line="276" w:lineRule="auto" w:after="160"/>
        <w:jc w:val="both"/>
      </w:pPr>
      <w:r>
        <w:rPr>
          <w:rFonts w:ascii="Times New Roman" w:hAnsi="Times New Roman" w:cs="Times New Roman" w:eastAsia="Times New Roman"/>
          <w:b/>
          <w:i w:val="0"/>
          <w:color w:val="000000"/>
          <w:sz w:val="22"/>
        </w:rPr>
        <w:t>Likely questions from a co-author.</w:t>
      </w:r>
    </w:p>
    <w:p>
      <w:pPr>
        <w:pStyle w:val="ListBullet"/>
        <w:spacing w:line="276" w:lineRule="auto"/>
      </w:pPr>
      <w:r>
        <w:rPr>
          <w:rFonts w:ascii="Times New Roman" w:hAnsi="Times New Roman" w:cs="Times New Roman" w:eastAsia="Times New Roman"/>
          <w:b w:val="0"/>
          <w:i/>
          <w:color w:val="000000"/>
          <w:sz w:val="22"/>
        </w:rPr>
        <w:t>Why is IB the right home?</w:t>
      </w:r>
      <w:r>
        <w:rPr>
          <w:rFonts w:ascii="Times New Roman" w:hAnsi="Times New Roman" w:cs="Times New Roman" w:eastAsia="Times New Roman"/>
          <w:color w:val="000000"/>
          <w:sz w:val="22"/>
        </w:rPr>
        <w:t xml:space="preserve"> It is comparative and cross-national, and MNEs face multiplicity, relationality and dynamism across home, host and supranational contexts (pp. 2, 5).</w:t>
      </w:r>
    </w:p>
    <w:p>
      <w:pPr>
        <w:pStyle w:val="ListBullet"/>
        <w:spacing w:line="276" w:lineRule="auto"/>
      </w:pPr>
      <w:r>
        <w:rPr>
          <w:rFonts w:ascii="Times New Roman" w:hAnsi="Times New Roman" w:cs="Times New Roman" w:eastAsia="Times New Roman"/>
          <w:b w:val="0"/>
          <w:i/>
          <w:color w:val="000000"/>
          <w:sz w:val="22"/>
        </w:rPr>
        <w:t>What does "reflexive" mean in Fig. 1?</w:t>
      </w:r>
      <w:r>
        <w:rPr>
          <w:rFonts w:ascii="Times New Roman" w:hAnsi="Times New Roman" w:cs="Times New Roman" w:eastAsia="Times New Roman"/>
          <w:color w:val="000000"/>
          <w:sz w:val="22"/>
        </w:rPr>
        <w:t xml:space="preserve"> Impacts feed back into context: MNEs spread values across borders (pp. 6, 8).</w:t>
      </w:r>
    </w:p>
    <w:p>
      <w:pPr>
        <w:pStyle w:val="ListBullet"/>
        <w:spacing w:line="276" w:lineRule="auto"/>
      </w:pPr>
      <w:r>
        <w:rPr>
          <w:rFonts w:ascii="Times New Roman" w:hAnsi="Times New Roman" w:cs="Times New Roman" w:eastAsia="Times New Roman"/>
          <w:b w:val="0"/>
          <w:i/>
          <w:color w:val="000000"/>
          <w:sz w:val="22"/>
        </w:rPr>
        <w:t>How does ideology challenge internalization theory?</w:t>
      </w:r>
      <w:r>
        <w:rPr>
          <w:rFonts w:ascii="Times New Roman" w:hAnsi="Times New Roman" w:cs="Times New Roman" w:eastAsia="Times New Roman"/>
          <w:color w:val="000000"/>
          <w:sz w:val="22"/>
        </w:rPr>
        <w:t xml:space="preserve"> Those theories assume profit-maximizers; U.S. MNEs leaving Russia on CEO ideology show ideology cutting against the bottom line (pp. 8–9).</w:t>
      </w:r>
    </w:p>
    <w:p>
      <w:pPr>
        <w:pStyle w:val="ListBullet"/>
        <w:spacing w:line="276" w:lineRule="auto"/>
      </w:pPr>
      <w:r>
        <w:rPr>
          <w:rFonts w:ascii="Times New Roman" w:hAnsi="Times New Roman" w:cs="Times New Roman" w:eastAsia="Times New Roman"/>
          <w:b w:val="0"/>
          <w:i/>
          <w:color w:val="000000"/>
          <w:sz w:val="22"/>
        </w:rPr>
        <w:t>What blocks the study of incongruence, and the fix?</w:t>
      </w:r>
      <w:r>
        <w:rPr>
          <w:rFonts w:ascii="Times New Roman" w:hAnsi="Times New Roman" w:cs="Times New Roman" w:eastAsia="Times New Roman"/>
          <w:color w:val="000000"/>
          <w:sz w:val="22"/>
        </w:rPr>
        <w:t xml:space="preserve"> Mismatched measures across levels; rescale, build indices, or content-analyze texts (p. 7).</w:t>
      </w:r>
    </w:p>
    <w:p>
      <w:pPr>
        <w:pStyle w:val="Heading2"/>
      </w:pPr>
      <w:r>
        <w:rPr>
          <w:rFonts w:ascii="Times New Roman" w:hAnsi="Times New Roman" w:cs="Times New Roman" w:eastAsia="Times New Roman"/>
          <w:b/>
          <w:color w:val="000000"/>
          <w:sz w:val="24"/>
        </w:rPr>
        <w:t>4 · Sun, Doh, Rajwani &amp; Siegel (2021). Navigating cross-border institutional complexity: A review and assessment of multinational nonmarket strategy research. JIBS, 52, 1818–1853.</w:t>
      </w:r>
    </w:p>
    <w:p>
      <w:pPr>
        <w:spacing w:line="276" w:lineRule="auto" w:after="160"/>
        <w:jc w:val="both"/>
      </w:pPr>
      <w:r>
        <w:rPr>
          <w:rFonts w:ascii="Times New Roman" w:hAnsi="Times New Roman" w:cs="Times New Roman" w:eastAsia="Times New Roman"/>
          <w:b/>
          <w:i w:val="0"/>
          <w:color w:val="000000"/>
          <w:sz w:val="22"/>
        </w:rPr>
        <w:t>Question.</w:t>
      </w:r>
      <w:r>
        <w:rPr>
          <w:rFonts w:ascii="Times New Roman" w:hAnsi="Times New Roman" w:cs="Times New Roman" w:eastAsia="Times New Roman"/>
          <w:color w:val="000000"/>
          <w:sz w:val="22"/>
        </w:rPr>
        <w:t xml:space="preserve"> What has 2000–2020 research established about how MNEs use nonmarket strategy across home, host and supranational institutions, and where next (pp. 1818–1819)?</w:t>
      </w:r>
    </w:p>
    <w:p>
      <w:pPr>
        <w:spacing w:line="276" w:lineRule="auto" w:after="160"/>
        <w:jc w:val="both"/>
      </w:pPr>
      <w:r>
        <w:rPr>
          <w:rFonts w:ascii="Times New Roman" w:hAnsi="Times New Roman" w:cs="Times New Roman" w:eastAsia="Times New Roman"/>
          <w:b/>
          <w:i w:val="0"/>
          <w:color w:val="000000"/>
          <w:sz w:val="22"/>
        </w:rPr>
        <w:t>Gap.</w:t>
      </w:r>
      <w:r>
        <w:rPr>
          <w:rFonts w:ascii="Times New Roman" w:hAnsi="Times New Roman" w:cs="Times New Roman" w:eastAsia="Times New Roman"/>
          <w:color w:val="000000"/>
          <w:sz w:val="22"/>
        </w:rPr>
        <w:t xml:space="preserve"> No systematic assessment of NMS "with reference to the IB field in general and to the MNE in particular" (p. 1819); only 18 of Mellahi et al.'s 214 articles overlap, so NMS research leans single-country (p. 1823).</w:t>
      </w:r>
    </w:p>
    <w:p>
      <w:pPr>
        <w:spacing w:line="276" w:lineRule="auto" w:after="160"/>
        <w:jc w:val="both"/>
      </w:pPr>
      <w:r>
        <w:rPr>
          <w:rFonts w:ascii="Times New Roman" w:hAnsi="Times New Roman" w:cs="Times New Roman" w:eastAsia="Times New Roman"/>
          <w:b/>
          <w:i w:val="0"/>
          <w:color w:val="000000"/>
          <w:sz w:val="22"/>
        </w:rPr>
        <w:t>Key terms.</w:t>
      </w: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color w:val="000000"/>
          <w:sz w:val="22"/>
        </w:rPr>
        <w:t>Nonmarket strategy</w:t>
      </w:r>
      <w:r>
        <w:rPr>
          <w:rFonts w:ascii="Times New Roman" w:hAnsi="Times New Roman" w:cs="Times New Roman" w:eastAsia="Times New Roman"/>
          <w:color w:val="000000"/>
          <w:sz w:val="22"/>
        </w:rPr>
        <w:t xml:space="preserve">: "a firm's concerted action to improve its competitive position and performance by actively managing the institutional or societal contexts of business competition in which it operates", made of CPA and strategic CSR and unfolding at several levels (p. 1818). </w:t>
      </w:r>
      <w:r>
        <w:rPr>
          <w:rFonts w:ascii="Times New Roman" w:hAnsi="Times New Roman" w:cs="Times New Roman" w:eastAsia="Times New Roman"/>
          <w:b w:val="0"/>
          <w:i/>
          <w:color w:val="000000"/>
          <w:sz w:val="22"/>
        </w:rPr>
        <w:t>Institutional multiplicity</w:t>
      </w:r>
      <w:r>
        <w:rPr>
          <w:rFonts w:ascii="Times New Roman" w:hAnsi="Times New Roman" w:cs="Times New Roman" w:eastAsia="Times New Roman"/>
          <w:color w:val="000000"/>
          <w:sz w:val="22"/>
        </w:rPr>
        <w:t xml:space="preserve"> (p. 1824). </w:t>
      </w:r>
      <w:r>
        <w:rPr>
          <w:rFonts w:ascii="Times New Roman" w:hAnsi="Times New Roman" w:cs="Times New Roman" w:eastAsia="Times New Roman"/>
          <w:b w:val="0"/>
          <w:i/>
          <w:color w:val="000000"/>
          <w:sz w:val="22"/>
        </w:rPr>
        <w:t>Obsolescing bargaining model</w:t>
      </w:r>
      <w:r>
        <w:rPr>
          <w:rFonts w:ascii="Times New Roman" w:hAnsi="Times New Roman" w:cs="Times New Roman" w:eastAsia="Times New Roman"/>
          <w:color w:val="000000"/>
          <w:sz w:val="22"/>
        </w:rPr>
        <w:t xml:space="preserve"> (p. 1828). </w:t>
      </w:r>
      <w:r>
        <w:rPr>
          <w:rFonts w:ascii="Times New Roman" w:hAnsi="Times New Roman" w:cs="Times New Roman" w:eastAsia="Times New Roman"/>
          <w:b w:val="0"/>
          <w:i/>
          <w:color w:val="000000"/>
          <w:sz w:val="22"/>
        </w:rPr>
        <w:t>Political capabilities</w:t>
      </w:r>
      <w:r>
        <w:rPr>
          <w:rFonts w:ascii="Times New Roman" w:hAnsi="Times New Roman" w:cs="Times New Roman" w:eastAsia="Times New Roman"/>
          <w:color w:val="000000"/>
          <w:sz w:val="22"/>
        </w:rPr>
        <w:t xml:space="preserve"> (p. 1830). </w:t>
      </w:r>
      <w:r>
        <w:rPr>
          <w:rFonts w:ascii="Times New Roman" w:hAnsi="Times New Roman" w:cs="Times New Roman" w:eastAsia="Times New Roman"/>
          <w:b w:val="0"/>
          <w:i/>
          <w:color w:val="000000"/>
          <w:sz w:val="22"/>
        </w:rPr>
        <w:t>Cross-border institutional capabilities</w:t>
      </w:r>
      <w:r>
        <w:rPr>
          <w:rFonts w:ascii="Times New Roman" w:hAnsi="Times New Roman" w:cs="Times New Roman" w:eastAsia="Times New Roman"/>
          <w:color w:val="000000"/>
          <w:sz w:val="22"/>
        </w:rPr>
        <w:t xml:space="preserve"> (pp. 1837–1838).</w:t>
      </w:r>
    </w:p>
    <w:p>
      <w:pPr>
        <w:spacing w:line="276" w:lineRule="auto" w:after="160"/>
        <w:jc w:val="both"/>
      </w:pPr>
      <w:r>
        <w:rPr>
          <w:rFonts w:ascii="Times New Roman" w:hAnsi="Times New Roman" w:cs="Times New Roman" w:eastAsia="Times New Roman"/>
          <w:b/>
          <w:i w:val="0"/>
          <w:color w:val="000000"/>
          <w:sz w:val="22"/>
        </w:rPr>
        <w:t>Method.</w:t>
      </w:r>
      <w:r>
        <w:rPr>
          <w:rFonts w:ascii="Times New Roman" w:hAnsi="Times New Roman" w:cs="Times New Roman" w:eastAsia="Times New Roman"/>
          <w:color w:val="000000"/>
          <w:sz w:val="22"/>
        </w:rPr>
        <w:t xml:space="preserve"> EBSCO, 44 journals, 2000–2020, </w:t>
      </w:r>
      <w:r>
        <w:rPr>
          <w:rFonts w:ascii="Times New Roman" w:hAnsi="Times New Roman" w:cs="Times New Roman" w:eastAsia="Times New Roman"/>
          <w:b/>
          <w:i w:val="0"/>
          <w:color w:val="000000"/>
          <w:sz w:val="22"/>
        </w:rPr>
        <w:t>367 articles</w:t>
      </w:r>
      <w:r>
        <w:rPr>
          <w:rFonts w:ascii="Times New Roman" w:hAnsi="Times New Roman" w:cs="Times New Roman" w:eastAsia="Times New Roman"/>
          <w:color w:val="000000"/>
          <w:sz w:val="22"/>
        </w:rPr>
        <w:t>; cross-border or comparative only; nonmarket variables must be DV, IV or moderator, not controls (p. 1820). Coding cross-checked by two authors (p. 1821).</w:t>
      </w:r>
    </w:p>
    <w:p>
      <w:pPr>
        <w:spacing w:line="276" w:lineRule="auto" w:after="160"/>
        <w:jc w:val="both"/>
      </w:pPr>
      <w:r>
        <w:rPr>
          <w:rFonts w:ascii="Times New Roman" w:hAnsi="Times New Roman" w:cs="Times New Roman" w:eastAsia="Times New Roman"/>
          <w:b/>
          <w:i w:val="0"/>
          <w:color w:val="000000"/>
          <w:sz w:val="22"/>
        </w:rPr>
        <w:t>Theory mix.</w:t>
      </w:r>
      <w:r>
        <w:rPr>
          <w:rFonts w:ascii="Times New Roman" w:hAnsi="Times New Roman" w:cs="Times New Roman" w:eastAsia="Times New Roman"/>
          <w:color w:val="000000"/>
          <w:sz w:val="22"/>
        </w:rPr>
        <w:t xml:space="preserve"> Institutional theory in 125 of 323 articles (pp. 1823–1824); then RBV 37, stakeholder 32, resource dependence 30, IB-based 33.</w:t>
      </w:r>
    </w:p>
    <w:p>
      <w:pPr>
        <w:spacing w:line="276" w:lineRule="auto" w:after="160"/>
        <w:jc w:val="both"/>
      </w:pPr>
      <w:r>
        <w:rPr>
          <w:rFonts w:ascii="Times New Roman" w:hAnsi="Times New Roman" w:cs="Times New Roman" w:eastAsia="Times New Roman"/>
          <w:b/>
          <w:i w:val="0"/>
          <w:color w:val="000000"/>
          <w:sz w:val="22"/>
        </w:rPr>
        <w:t>Findings.</w:t>
      </w:r>
    </w:p>
    <w:p>
      <w:pPr>
        <w:pStyle w:val="ListBullet"/>
        <w:spacing w:line="276" w:lineRule="auto"/>
      </w:pPr>
      <w:r>
        <w:rPr>
          <w:rFonts w:ascii="Times New Roman" w:hAnsi="Times New Roman" w:cs="Times New Roman" w:eastAsia="Times New Roman"/>
          <w:color w:val="000000"/>
          <w:sz w:val="22"/>
        </w:rPr>
        <w:t>273 articles in 2011–2020 against 94 in 2001–2010; JIBS alone 20% (pp. 1822–1823).</w:t>
      </w:r>
    </w:p>
    <w:p>
      <w:pPr>
        <w:pStyle w:val="ListBullet"/>
        <w:spacing w:line="276" w:lineRule="auto"/>
      </w:pPr>
      <w:r>
        <w:rPr>
          <w:rFonts w:ascii="Times New Roman" w:hAnsi="Times New Roman" w:cs="Times New Roman" w:eastAsia="Times New Roman"/>
          <w:color w:val="000000"/>
          <w:sz w:val="22"/>
        </w:rPr>
        <w:t>173 CPA, 141 SCSR, 53 both; 56% quantitative (p. 1823).</w:t>
      </w:r>
    </w:p>
    <w:p>
      <w:pPr>
        <w:pStyle w:val="ListBullet"/>
        <w:spacing w:line="276" w:lineRule="auto"/>
      </w:pPr>
      <w:r>
        <w:rPr>
          <w:rFonts w:ascii="Times New Roman" w:hAnsi="Times New Roman" w:cs="Times New Roman" w:eastAsia="Times New Roman"/>
          <w:color w:val="000000"/>
          <w:sz w:val="22"/>
        </w:rPr>
        <w:t>China in more than a quarter of empirical studies (p. 1823).</w:t>
      </w:r>
    </w:p>
    <w:p>
      <w:pPr>
        <w:pStyle w:val="ListBullet"/>
        <w:spacing w:line="276" w:lineRule="auto"/>
      </w:pPr>
      <w:r>
        <w:rPr>
          <w:rFonts w:ascii="Times New Roman" w:hAnsi="Times New Roman" w:cs="Times New Roman" w:eastAsia="Times New Roman"/>
          <w:b/>
          <w:i w:val="0"/>
          <w:color w:val="000000"/>
          <w:sz w:val="22"/>
        </w:rPr>
        <w:t>Levels (Table 2, p. 1825): 110 host-national only, 52 home-national only, 4 host-subnational only, 0 home-subnational only</w:t>
      </w:r>
      <w:r>
        <w:rPr>
          <w:rFonts w:ascii="Times New Roman" w:hAnsi="Times New Roman" w:cs="Times New Roman" w:eastAsia="Times New Roman"/>
          <w:color w:val="000000"/>
          <w:sz w:val="22"/>
        </w:rPr>
        <w:t>, 66 home–host, 62 supranational.</w:t>
      </w:r>
    </w:p>
    <w:p>
      <w:pPr>
        <w:pStyle w:val="ListBullet"/>
        <w:spacing w:line="276" w:lineRule="auto"/>
      </w:pPr>
      <w:r>
        <w:rPr>
          <w:rFonts w:ascii="Times New Roman" w:hAnsi="Times New Roman" w:cs="Times New Roman" w:eastAsia="Times New Roman"/>
          <w:color w:val="000000"/>
          <w:sz w:val="22"/>
        </w:rPr>
        <w:t>HQ–subsidiary and TMT research "still in its infancy" (p. 1832); CPA–SCSR integration under 20% and "extremely limited" (pp. 1837, 1841).</w:t>
      </w:r>
    </w:p>
    <w:p>
      <w:pPr>
        <w:spacing w:line="276" w:lineRule="auto" w:after="160"/>
        <w:jc w:val="both"/>
      </w:pPr>
      <w:r>
        <w:rPr>
          <w:rFonts w:ascii="Times New Roman" w:hAnsi="Times New Roman" w:cs="Times New Roman" w:eastAsia="Times New Roman"/>
          <w:b/>
          <w:i w:val="0"/>
          <w:color w:val="000000"/>
          <w:sz w:val="22"/>
        </w:rPr>
        <w:t>Agenda (Table 6, p. 1841).</w:t>
      </w:r>
      <w:r>
        <w:rPr>
          <w:rFonts w:ascii="Times New Roman" w:hAnsi="Times New Roman" w:cs="Times New Roman" w:eastAsia="Times New Roman"/>
          <w:color w:val="000000"/>
          <w:sz w:val="22"/>
        </w:rPr>
        <w:t xml:space="preserve"> Micro-level processes (discourse methods); global macro institutions (multilevel methods); CPA–SCSR as complements or substitutes (difference-in-differences, cases); multi-actor issues (social network analysis).</w:t>
      </w:r>
    </w:p>
    <w:p>
      <w:pPr>
        <w:spacing w:line="276" w:lineRule="auto" w:after="160"/>
        <w:jc w:val="both"/>
      </w:pPr>
      <w:r>
        <w:rPr>
          <w:rFonts w:ascii="Times New Roman" w:hAnsi="Times New Roman" w:cs="Times New Roman" w:eastAsia="Times New Roman"/>
          <w:b/>
          <w:i w:val="0"/>
          <w:color w:val="000000"/>
          <w:sz w:val="22"/>
        </w:rPr>
        <w:t>Quotes.</w:t>
      </w:r>
      <w:r>
        <w:rPr>
          <w:rFonts w:ascii="Times New Roman" w:hAnsi="Times New Roman" w:cs="Times New Roman" w:eastAsia="Times New Roman"/>
          <w:color w:val="000000"/>
          <w:sz w:val="22"/>
        </w:rPr>
        <w:t xml:space="preserve"> "The preponderance of SCSR research in this area does not observe nor measure the actual nonmarket strategies of firms; rather, the strategic intent of these actions is inferred or imputed" (p. 1835) · "We saw no explicit attempts to incorporate individual-level factors such as managerial cognition into the bargaining models" (p. 1829) · "microlevel research has been particularly underrepresented" (p. 1842).</w:t>
      </w:r>
    </w:p>
    <w:p>
      <w:pPr>
        <w:spacing w:line="276" w:lineRule="auto" w:after="160"/>
        <w:jc w:val="both"/>
      </w:pPr>
      <w:r>
        <w:rPr>
          <w:rFonts w:ascii="Times New Roman" w:hAnsi="Times New Roman" w:cs="Times New Roman" w:eastAsia="Times New Roman"/>
          <w:b/>
          <w:i w:val="0"/>
          <w:color w:val="000000"/>
          <w:sz w:val="22"/>
        </w:rPr>
        <w:t>Link to your work.</w:t>
      </w:r>
      <w:r>
        <w:rPr>
          <w:rFonts w:ascii="Times New Roman" w:hAnsi="Times New Roman" w:cs="Times New Roman" w:eastAsia="Times New Roman"/>
          <w:color w:val="000000"/>
          <w:sz w:val="22"/>
        </w:rPr>
        <w:t xml:space="preserve"> Table 2 is a ready citation for stating the institutional level at which a design is bounded and not treating "country" as the only unit (p. 1825); the call for multilevel methods across "supranational, regional, national, and local" levels (p. 1844) supports your nesting. The missing managerial-cognition point (p. 1829) supports your judgment-level research in general terms.</w:t>
      </w:r>
    </w:p>
    <w:p>
      <w:pPr>
        <w:spacing w:line="276" w:lineRule="auto" w:after="160"/>
        <w:jc w:val="both"/>
      </w:pPr>
      <w:r>
        <w:rPr>
          <w:rFonts w:ascii="Times New Roman" w:hAnsi="Times New Roman" w:cs="Times New Roman" w:eastAsia="Times New Roman"/>
          <w:b/>
          <w:i w:val="0"/>
          <w:color w:val="000000"/>
          <w:sz w:val="22"/>
        </w:rPr>
        <w:t>Likely questions.</w:t>
      </w:r>
    </w:p>
    <w:p>
      <w:pPr>
        <w:pStyle w:val="ListBullet"/>
        <w:spacing w:line="276" w:lineRule="auto"/>
      </w:pPr>
      <w:r>
        <w:rPr>
          <w:rFonts w:ascii="Times New Roman" w:hAnsi="Times New Roman" w:cs="Times New Roman" w:eastAsia="Times New Roman"/>
          <w:b w:val="0"/>
          <w:i/>
          <w:color w:val="000000"/>
          <w:sz w:val="22"/>
        </w:rPr>
        <w:t>Why does institutional theory dominate?</w:t>
      </w:r>
      <w:r>
        <w:rPr>
          <w:rFonts w:ascii="Times New Roman" w:hAnsi="Times New Roman" w:cs="Times New Roman" w:eastAsia="Times New Roman"/>
          <w:color w:val="000000"/>
          <w:sz w:val="22"/>
        </w:rPr>
        <w:t xml:space="preserve"> The institutional lens is "intrinsic to the international aims" of this literature (pp. 1823–1824).</w:t>
      </w:r>
    </w:p>
    <w:p>
      <w:pPr>
        <w:pStyle w:val="ListBullet"/>
        <w:spacing w:line="276" w:lineRule="auto"/>
      </w:pPr>
      <w:r>
        <w:rPr>
          <w:rFonts w:ascii="Times New Roman" w:hAnsi="Times New Roman" w:cs="Times New Roman" w:eastAsia="Times New Roman"/>
          <w:b w:val="0"/>
          <w:i/>
          <w:color w:val="000000"/>
          <w:sz w:val="22"/>
        </w:rPr>
        <w:t>Are CPA and SCSR complements or substitutes?</w:t>
      </w:r>
      <w:r>
        <w:rPr>
          <w:rFonts w:ascii="Times New Roman" w:hAnsi="Times New Roman" w:cs="Times New Roman" w:eastAsia="Times New Roman"/>
          <w:color w:val="000000"/>
          <w:sz w:val="22"/>
        </w:rPr>
        <w:t xml:space="preserve"> Mostly complements: SCSR buys legitimacy with political actors (p. 1839), but host-country CPA can clash with home expectations, as with Google and Yahoo in China (pp. 1839, 1845).</w:t>
      </w:r>
    </w:p>
    <w:p>
      <w:pPr>
        <w:pStyle w:val="Heading2"/>
      </w:pPr>
      <w:r>
        <w:rPr>
          <w:rFonts w:ascii="Times New Roman" w:hAnsi="Times New Roman" w:cs="Times New Roman" w:eastAsia="Times New Roman"/>
          <w:b/>
          <w:color w:val="000000"/>
          <w:sz w:val="24"/>
        </w:rPr>
        <w:t>Cross-paper questions Newburry may ask</w:t>
      </w:r>
    </w:p>
    <w:p>
      <w:pPr>
        <w:pStyle w:val="ListBullet"/>
        <w:spacing w:line="276" w:lineRule="auto"/>
      </w:pPr>
      <w:r>
        <w:rPr>
          <w:rFonts w:ascii="Times New Roman" w:hAnsi="Times New Roman" w:cs="Times New Roman" w:eastAsia="Times New Roman"/>
          <w:b/>
          <w:i w:val="0"/>
          <w:color w:val="000000"/>
          <w:sz w:val="22"/>
        </w:rPr>
        <w:t>"Which of these would you use to justify a multi-country design, and why?"</w:t>
      </w:r>
      <w:r>
        <w:rPr>
          <w:rFonts w:ascii="Times New Roman" w:hAnsi="Times New Roman" w:cs="Times New Roman" w:eastAsia="Times New Roman"/>
          <w:color w:val="000000"/>
          <w:sz w:val="22"/>
        </w:rPr>
        <w:t xml:space="preserve"> Sun for the levels</w:t>
      </w:r>
    </w:p>
    <w:p>
      <w:pPr>
        <w:spacing w:line="276" w:lineRule="auto" w:after="160"/>
        <w:jc w:val="both"/>
      </w:pPr>
      <w:r>
        <w:rPr>
          <w:rFonts w:ascii="Times New Roman" w:hAnsi="Times New Roman" w:cs="Times New Roman" w:eastAsia="Times New Roman"/>
          <w:color w:val="000000"/>
          <w:sz w:val="22"/>
        </w:rPr>
        <w:t>(Table 2), Bruijn for site selection versus practice (GDELT), Caprar for subculture versus nation.</w:t>
      </w:r>
    </w:p>
    <w:p>
      <w:pPr>
        <w:pStyle w:val="ListBullet"/>
        <w:spacing w:line="276" w:lineRule="auto"/>
      </w:pPr>
      <w:r>
        <w:rPr>
          <w:rFonts w:ascii="Times New Roman" w:hAnsi="Times New Roman" w:cs="Times New Roman" w:eastAsia="Times New Roman"/>
          <w:b/>
          <w:i w:val="0"/>
          <w:color w:val="000000"/>
          <w:sz w:val="22"/>
        </w:rPr>
        <w:t>"Ideology (Thams) and culture (Caprar): same thing?"</w:t>
      </w:r>
      <w:r>
        <w:rPr>
          <w:rFonts w:ascii="Times New Roman" w:hAnsi="Times New Roman" w:cs="Times New Roman" w:eastAsia="Times New Roman"/>
          <w:color w:val="000000"/>
          <w:sz w:val="22"/>
        </w:rPr>
        <w:t xml:space="preserve"> No. Ideology is beliefs about how society</w:t>
      </w:r>
    </w:p>
    <w:p>
      <w:pPr>
        <w:spacing w:line="276" w:lineRule="auto" w:after="160"/>
        <w:jc w:val="both"/>
      </w:pPr>
      <w:r>
        <w:rPr>
          <w:rFonts w:ascii="Times New Roman" w:hAnsi="Times New Roman" w:cs="Times New Roman" w:eastAsia="Times New Roman"/>
          <w:b w:val="0"/>
          <w:i/>
          <w:color w:val="000000"/>
          <w:sz w:val="22"/>
        </w:rPr>
        <w:t>ought</w:t>
      </w:r>
      <w:r>
        <w:rPr>
          <w:rFonts w:ascii="Times New Roman" w:hAnsi="Times New Roman" w:cs="Times New Roman" w:eastAsia="Times New Roman"/>
          <w:color w:val="000000"/>
          <w:sz w:val="22"/>
        </w:rPr>
        <w:t xml:space="preserve"> to be structured (Thams, p. 2); culture is shared values and norms. Both are multi-level and both are over-read from national averages.</w:t>
      </w:r>
    </w:p>
    <w:p>
      <w:pPr>
        <w:pStyle w:val="ListBullet"/>
        <w:spacing w:line="276" w:lineRule="auto"/>
      </w:pPr>
      <w:r>
        <w:rPr>
          <w:rFonts w:ascii="Times New Roman" w:hAnsi="Times New Roman" w:cs="Times New Roman" w:eastAsia="Times New Roman"/>
          <w:b/>
          <w:i w:val="0"/>
          <w:color w:val="000000"/>
          <w:sz w:val="22"/>
        </w:rPr>
        <w:t>"Where do civil society (Bruijn) and nonmarket strategy (Sun) overlap?"</w:t>
      </w:r>
      <w:r>
        <w:rPr>
          <w:rFonts w:ascii="Times New Roman" w:hAnsi="Times New Roman" w:cs="Times New Roman" w:eastAsia="Times New Roman"/>
          <w:color w:val="000000"/>
          <w:sz w:val="22"/>
        </w:rPr>
        <w:t xml:space="preserve"> SCSR and NGO</w:t>
      </w:r>
    </w:p>
    <w:p>
      <w:pPr>
        <w:spacing w:line="276" w:lineRule="auto" w:after="160"/>
        <w:jc w:val="both"/>
      </w:pPr>
      <w:r>
        <w:rPr>
          <w:rFonts w:ascii="Times New Roman" w:hAnsi="Times New Roman" w:cs="Times New Roman" w:eastAsia="Times New Roman"/>
          <w:color w:val="000000"/>
          <w:sz w:val="22"/>
        </w:rPr>
        <w:t>engagement; Sun's NGOs/supply chains/human rights stream is Bruijn's cooperative interaction seen from the firm's side.</w:t>
      </w:r>
    </w:p>
    <w:p>
      <w:pPr>
        <w:pStyle w:val="ListBullet"/>
        <w:spacing w:line="276" w:lineRule="auto"/>
      </w:pPr>
      <w:r>
        <w:rPr>
          <w:rFonts w:ascii="Times New Roman" w:hAnsi="Times New Roman" w:cs="Times New Roman" w:eastAsia="Times New Roman"/>
          <w:b/>
          <w:i w:val="0"/>
          <w:color w:val="000000"/>
          <w:sz w:val="22"/>
        </w:rPr>
        <w:t>"What would a study that answers all four look like?"</w:t>
      </w:r>
      <w:r>
        <w:rPr>
          <w:rFonts w:ascii="Times New Roman" w:hAnsi="Times New Roman" w:cs="Times New Roman" w:eastAsia="Times New Roman"/>
          <w:color w:val="000000"/>
          <w:sz w:val="22"/>
        </w:rPr>
        <w:t xml:space="preserve"> Multi-level, outside the usual-suspect</w:t>
      </w:r>
    </w:p>
    <w:p>
      <w:pPr>
        <w:spacing w:line="276" w:lineRule="auto" w:after="160"/>
        <w:jc w:val="both"/>
      </w:pPr>
      <w:r>
        <w:rPr>
          <w:rFonts w:ascii="Times New Roman" w:hAnsi="Times New Roman" w:cs="Times New Roman" w:eastAsia="Times New Roman"/>
          <w:color w:val="000000"/>
          <w:sz w:val="22"/>
        </w:rPr>
        <w:t>countries, measuring societal outcomes as well as firm outcomes, with culture and ideology measured below the nation.</w:t>
      </w:r>
    </w:p>
    <w:p>
      <w:pPr>
        <w:pStyle w:val="Heading2"/>
      </w:pPr>
      <w:r>
        <w:rPr>
          <w:rFonts w:ascii="Times New Roman" w:hAnsi="Times New Roman" w:cs="Times New Roman" w:eastAsia="Times New Roman"/>
          <w:b/>
          <w:color w:val="000000"/>
          <w:sz w:val="24"/>
        </w:rPr>
        <w:t>NotebookLM: how to load this</w:t>
      </w:r>
    </w:p>
    <w:p>
      <w:pPr>
        <w:spacing w:line="276" w:lineRule="auto" w:after="160"/>
        <w:jc w:val="both"/>
      </w:pPr>
      <w:r>
        <w:rPr>
          <w:rFonts w:ascii="Times New Roman" w:hAnsi="Times New Roman" w:cs="Times New Roman" w:eastAsia="Times New Roman"/>
          <w:color w:val="000000"/>
          <w:sz w:val="22"/>
        </w:rPr>
        <w:t>I cannot open NotebookLM or upload to it; it has no connection available here. Five minutes by hand:</w:t>
      </w:r>
    </w:p>
    <w:p>
      <w:pPr>
        <w:pStyle w:val="ListBullet"/>
        <w:spacing w:line="276" w:lineRule="auto"/>
      </w:pPr>
      <w:r>
        <w:rPr>
          <w:rFonts w:ascii="Times New Roman" w:hAnsi="Times New Roman" w:cs="Times New Roman" w:eastAsia="Times New Roman"/>
          <w:color w:val="000000"/>
          <w:sz w:val="22"/>
        </w:rPr>
        <w:t xml:space="preserve">Go to notebooklm.google.com, </w:t>
      </w:r>
      <w:r>
        <w:rPr>
          <w:rFonts w:ascii="Times New Roman" w:hAnsi="Times New Roman" w:cs="Times New Roman" w:eastAsia="Times New Roman"/>
          <w:b/>
          <w:i w:val="0"/>
          <w:color w:val="000000"/>
          <w:sz w:val="22"/>
        </w:rPr>
        <w:t>New notebook</w:t>
      </w:r>
      <w:r>
        <w:rPr>
          <w:rFonts w:ascii="Times New Roman" w:hAnsi="Times New Roman" w:cs="Times New Roman" w:eastAsia="Times New Roman"/>
          <w:color w:val="000000"/>
          <w:sz w:val="22"/>
        </w:rPr>
        <w:t xml:space="preserve">, name it </w:t>
      </w:r>
      <w:r>
        <w:rPr>
          <w:rFonts w:ascii="Times New Roman" w:hAnsi="Times New Roman" w:cs="Times New Roman" w:eastAsia="Times New Roman"/>
          <w:b w:val="0"/>
          <w:i/>
          <w:color w:val="000000"/>
          <w:sz w:val="22"/>
        </w:rPr>
        <w:t>GEB 7365 · MNE beyond the market</w:t>
      </w:r>
      <w:r>
        <w:rPr>
          <w:rFonts w:ascii="Times New Roman" w:hAnsi="Times New Roman" w:cs="Times New Roman" w:eastAsia="Times New Roman"/>
          <w:color w:val="000000"/>
          <w:sz w:val="22"/>
        </w:rPr>
        <w:t>.</w:t>
      </w:r>
    </w:p>
    <w:p>
      <w:pPr>
        <w:pStyle w:val="ListBullet"/>
        <w:spacing w:line="276" w:lineRule="auto"/>
      </w:pPr>
      <w:r>
        <w:rPr>
          <w:rFonts w:ascii="Times New Roman" w:hAnsi="Times New Roman" w:cs="Times New Roman" w:eastAsia="Times New Roman"/>
          <w:b/>
          <w:i w:val="0"/>
          <w:color w:val="000000"/>
          <w:sz w:val="22"/>
        </w:rPr>
        <w:t>Add sources:</w:t>
      </w:r>
      <w:r>
        <w:rPr>
          <w:rFonts w:ascii="Times New Roman" w:hAnsi="Times New Roman" w:cs="Times New Roman" w:eastAsia="Times New Roman"/>
          <w:color w:val="000000"/>
          <w:sz w:val="22"/>
        </w:rPr>
        <w:t xml:space="preserve"> the four PDFs (Caprar, Bruijn, Thams, Sun) and this file</w:t>
      </w:r>
    </w:p>
    <w:p>
      <w:pPr>
        <w:spacing w:line="276" w:lineRule="auto" w:after="160"/>
        <w:jc w:val="both"/>
      </w:pPr>
      <w:r>
        <w:rPr>
          <w:rFonts w:ascii="Times New Roman" w:hAnsi="Times New Roman" w:cs="Times New Roman" w:eastAsia="Times New Roman"/>
          <w:color w:val="000000"/>
          <w:sz w:val="22"/>
        </w:rPr>
        <w:t>(READINGS_NONMARKET_STUDY_PACK.pdf).</w:t>
      </w:r>
    </w:p>
    <w:p>
      <w:pPr>
        <w:pStyle w:val="ListBullet"/>
        <w:spacing w:line="276" w:lineRule="auto"/>
      </w:pPr>
      <w:r>
        <w:rPr>
          <w:rFonts w:ascii="Times New Roman" w:hAnsi="Times New Roman" w:cs="Times New Roman" w:eastAsia="Times New Roman"/>
          <w:b/>
          <w:i w:val="0"/>
          <w:color w:val="000000"/>
          <w:sz w:val="22"/>
        </w:rPr>
        <w:t>Audio Overview → Customize</w:t>
      </w:r>
      <w:r>
        <w:rPr>
          <w:rFonts w:ascii="Times New Roman" w:hAnsi="Times New Roman" w:cs="Times New Roman" w:eastAsia="Times New Roman"/>
          <w:color w:val="000000"/>
          <w:sz w:val="22"/>
        </w:rPr>
        <w:t>, paste:</w:t>
      </w:r>
    </w:p>
    <w:p>
      <w:pPr>
        <w:spacing w:line="276" w:lineRule="auto" w:after="160"/>
        <w:jc w:val="both"/>
      </w:pPr>
      <w:r>
        <w:rPr>
          <w:rFonts w:ascii="Times New Roman" w:hAnsi="Times New Roman" w:cs="Times New Roman" w:eastAsia="Times New Roman"/>
          <w:color w:val="000000"/>
          <w:sz w:val="22"/>
        </w:rPr>
        <w:t>&gt; Two hosts discuss four papers for a doctoral international business seminar taught by William &gt; Newburry, who co-authored Thams et al. (2025). Explain each paper's question, method and main &gt; finding, then the thread across all four: context, levels of analysis and societal outcomes. &gt; Spend extra time on Thams et al.'s Figure 1 and on Bruijn et al.'s GDELT comparison. 15 minutes.</w:t>
      </w:r>
    </w:p>
    <w:p>
      <w:pPr>
        <w:pStyle w:val="ListBullet"/>
        <w:spacing w:line="276" w:lineRule="auto"/>
      </w:pPr>
      <w:r>
        <w:rPr>
          <w:rFonts w:ascii="Times New Roman" w:hAnsi="Times New Roman" w:cs="Times New Roman" w:eastAsia="Times New Roman"/>
          <w:b/>
          <w:i w:val="0"/>
          <w:color w:val="000000"/>
          <w:sz w:val="22"/>
        </w:rPr>
        <w:t>Chat prompts to paste:</w:t>
      </w:r>
    </w:p>
    <w:p>
      <w:pPr>
        <w:pStyle w:val="ListBullet"/>
        <w:spacing w:line="276" w:lineRule="auto"/>
      </w:pPr>
      <w:r>
        <w:rPr>
          <w:rFonts w:ascii="Times New Roman" w:hAnsi="Times New Roman" w:cs="Times New Roman" w:eastAsia="Times New Roman"/>
          <w:color w:val="000000"/>
          <w:sz w:val="22"/>
        </w:rPr>
        <w:t>"Quiz me with 10 questions across the four papers, one at a time, and grade my answers against the text with page numbers."</w:t>
      </w:r>
    </w:p>
    <w:p>
      <w:pPr>
        <w:pStyle w:val="ListBullet"/>
        <w:spacing w:line="276" w:lineRule="auto"/>
      </w:pPr>
      <w:r>
        <w:rPr>
          <w:rFonts w:ascii="Times New Roman" w:hAnsi="Times New Roman" w:cs="Times New Roman" w:eastAsia="Times New Roman"/>
          <w:color w:val="000000"/>
          <w:sz w:val="22"/>
        </w:rPr>
        <w:t>"What would Professor Newburry most likely ask about Thams et al. (2025)? Give me model answers from the paper."</w:t>
      </w:r>
    </w:p>
    <w:p>
      <w:pPr>
        <w:pStyle w:val="ListBullet"/>
        <w:spacing w:line="276" w:lineRule="auto"/>
      </w:pPr>
      <w:r>
        <w:rPr>
          <w:rFonts w:ascii="Times New Roman" w:hAnsi="Times New Roman" w:cs="Times New Roman" w:eastAsia="Times New Roman"/>
          <w:color w:val="000000"/>
          <w:sz w:val="22"/>
        </w:rPr>
        <w:t>"Build a table comparing the four papers on question, method, sample, theory and main finding."</w:t>
      </w:r>
    </w:p>
    <w:p>
      <w:pPr>
        <w:pStyle w:val="ListBullet"/>
        <w:spacing w:line="276" w:lineRule="auto"/>
      </w:pPr>
      <w:r>
        <w:rPr>
          <w:rFonts w:ascii="Times New Roman" w:hAnsi="Times New Roman" w:cs="Times New Roman" w:eastAsia="Times New Roman"/>
          <w:color w:val="000000"/>
          <w:sz w:val="22"/>
        </w:rPr>
        <w:t>"Which claims in these papers could I cite to argue that multi-country research samples are regionally concentrated?"</w:t>
      </w:r>
    </w:p>
    <w:p>
      <w:pPr>
        <w:pStyle w:val="ListBullet"/>
        <w:spacing w:line="276" w:lineRule="auto"/>
      </w:pPr>
      <w:r>
        <w:rPr>
          <w:rFonts w:ascii="Times New Roman" w:hAnsi="Times New Roman" w:cs="Times New Roman" w:eastAsia="Times New Roman"/>
          <w:b/>
          <w:i w:val="0"/>
          <w:color w:val="000000"/>
          <w:sz w:val="22"/>
        </w:rPr>
        <w:t>Check any page number NotebookLM gives you against the PDF</w:t>
      </w:r>
      <w:r>
        <w:rPr>
          <w:rFonts w:ascii="Times New Roman" w:hAnsi="Times New Roman" w:cs="Times New Roman" w:eastAsia="Times New Roman"/>
          <w:color w:val="000000"/>
          <w:sz w:val="22"/>
        </w:rPr>
        <w:t xml:space="preserve"> before you use it in class.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s="Times New Roman" w:eastAsia="Times New Roma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 7365 · The MNE beyond the market</dc:title>
  <dc:subject>Study pack: Caprar 2022 · Bruijn 2024 · Thams 2025 · Sun 2021</dc:subject>
  <dc:creator>Yasir A.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