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Results — Draft (n = 4, Pilot/Feasibility Framing)</w:t>
      </w:r>
    </w:p>
    <w:p>
      <w:r>
        <w:rPr>
          <w:b/>
        </w:rPr>
        <w:t>Status:</w:t>
      </w:r>
      <w:r>
        <w:t xml:space="preserve"> Ready to drop into Chapter 4. Numbers are real, computed from the screened dataset — nothing fabricated. Framing follows the pilot-study fallback proposed to Dr. Rey.</w:t>
      </w:r>
    </w:p>
    <w:p>
      <w:pPr>
        <w:pStyle w:val="Heading2"/>
      </w:pPr>
      <w:r>
        <w:t>Sample</w:t>
      </w:r>
    </w:p>
    <w:p>
      <w:r>
        <w:t>n = 4 valid, fully screened respondents (of 23 raw). Roles: Internal audit (Big 4), Government auditor, External audit (mid-tier), External audit (small firm/government-nonprofit). Experience ranged from &lt;2 to 15 years combined external/internal audit tenure. 3 of 4 report exposure to long-term/continuing engagements.</w:t>
      </w:r>
    </w:p>
    <w:p>
      <w:pPr>
        <w:pStyle w:val="Heading2"/>
      </w:pPr>
      <w:r>
        <w:t>Construct-Level Descriptives (5-point scale, reverse-coded items corrected)</w:t>
      </w:r>
    </w:p>
    <w:p>
      <w:r>
        <w:t>| Construct | Mean | SD | Min | Max | Cronbach's α |</w:t>
      </w:r>
    </w:p>
    <w:p>
      <w:r>
        <w:t>|---|---|---|---|---|---|</w:t>
      </w:r>
    </w:p>
    <w:p>
      <w:r>
        <w:t>| Training and Awareness (TA) | 3.50 | 0.66 | 2.60 | 4.00 | 0.85 |</w:t>
      </w:r>
    </w:p>
    <w:p>
      <w:r>
        <w:t>| Rotation of Auditors (RA) | 3.60 | 0.28 | 3.40 | 4.00 | −0.31 |</w:t>
      </w:r>
    </w:p>
    <w:p>
      <w:r>
        <w:t>| Use of Analytical Tools (AT) | 3.50 | 0.48 | 3.20 | 4.20 | 0.07 |</w:t>
      </w:r>
    </w:p>
    <w:p>
      <w:r>
        <w:t>| Structured Auditing Processes (SAP) | 3.70 | 0.12 | 3.60 | 3.80 | −3.75 |</w:t>
      </w:r>
    </w:p>
    <w:p>
      <w:r>
        <w:t>| Feedback and Reflection (FR) | 3.60 | 0.49 | 3.00 | 4.00 | 0.83 |</w:t>
      </w:r>
    </w:p>
    <w:p>
      <w:r>
        <w:t>| Independent Reviews (IR) | 3.60 | 0.33 | 3.20 | 4.00 | 0.39 |</w:t>
      </w:r>
    </w:p>
    <w:p>
      <w:r>
        <w:t>| Regulatory and Professional Guidance (RPG) | 3.80 | 0.59 | 3.20 | 4.40 | 0.75 |</w:t>
      </w:r>
    </w:p>
    <w:p>
      <w:r>
        <w:t>| Performance Metrics and Incentives (PMI) | 3.55 | 0.47 | 3.20 | 4.20 | 0.63 |</w:t>
      </w:r>
    </w:p>
    <w:p>
      <w:r>
        <w:t>| Auditor Judgment Quality (AJQ) | 4.20 | 0.28 | 3.80 | 4.40 | 0.00 |</w:t>
      </w:r>
    </w:p>
    <w:p>
      <w:r>
        <w:t>| Audit Process Rigor (APR) | 3.90 | 0.38 | 3.40 | 4.20 | 0.51 |</w:t>
      </w:r>
    </w:p>
    <w:p>
      <w:r>
        <w:t>| Reduction in Anchoring Bias (RAB) | 3.50 | 0.42 | 3.00 | 4.00 | 0.29 |</w:t>
      </w:r>
    </w:p>
    <w:p>
      <w:r>
        <w:rPr>
          <w:b/>
        </w:rPr>
        <w:t>Honest interpretation — do not oversell this table.</w:t>
      </w:r>
      <w:r>
        <w:t xml:space="preserve"> At n=4, Cronbach's alpha is not a meaningful reliability estimate: two values are negative (RA, SAP), which is mathematically possible only when items violate the model's assumptions or — far more likely here — noise dominates at a sample this small. Even the "good-looking" alphas (TA=0.85, FR=0.83) should not be read as evidence of good measurement; with df this low, alpha is essentially uninformative in either direction. </w:t>
      </w:r>
      <w:r>
        <w:rPr>
          <w:b/>
        </w:rPr>
        <w:t>Report the table for transparency, but explicitly state reliability could not be meaningfully assessed at the achieved sample size.</w:t>
      </w:r>
      <w:r>
        <w:t xml:space="preserve"> All means cluster narrowly around 3.5–4.2 (mild agreement), which is a substantive floor/ceiling observation worth one sentence, not a finding to lean on statistically.</w:t>
      </w:r>
    </w:p>
    <w:p>
      <w:pPr>
        <w:pStyle w:val="Heading2"/>
      </w:pPr>
      <w:r>
        <w:t>Qualitative Synthesis — Open-Text Responses (all 4 respondents answered)</w:t>
      </w:r>
    </w:p>
    <w:p>
      <w:r>
        <w:t>All four respondents, independently, described the same underlying pattern without prompting toward it:</w:t>
      </w:r>
    </w:p>
    <w:p>
      <w:pPr>
        <w:pStyle w:val="ListNumber"/>
      </w:pPr>
      <w:r>
        <w:rPr>
          <w:b/>
        </w:rPr>
        <w:t>An initial reference point (prior-year balance, budget, or management estimate) forms the starting expectation.</w:t>
      </w:r>
      <w:r>
        <w:t xml:space="preserve"> ("prior year balances are typically set as our expectation," "initial figure gives me a baseline," "the prior-year expense balance initially influenced my expectation.")</w:t>
      </w:r>
    </w:p>
    <w:p>
      <w:pPr>
        <w:pStyle w:val="ListNumber"/>
      </w:pPr>
      <w:r>
        <w:rPr>
          <w:b/>
        </w:rPr>
        <w:t>All four describe actively testing and, when warranted, departing from that anchor</w:t>
      </w:r>
      <w:r>
        <w:t xml:space="preserve"> — none reported simply accepting it. Triggers for adjustment varied: regulatory/system changes (R1), evidence "completely off" from expectation (R2), reviewing supporting documentation and business changes (R3), identifying one-time/outlier items like an ERC credit (R4).</w:t>
      </w:r>
    </w:p>
    <w:p>
      <w:pPr>
        <w:pStyle w:val="ListNumber"/>
      </w:pPr>
      <w:r>
        <w:rPr>
          <w:b/>
        </w:rPr>
        <w:t>This is a textbook anchoring-and-adjustment pattern</w:t>
      </w:r>
      <w:r>
        <w:t xml:space="preserve"> (Tversky &amp; Kahneman, 1974): an anchor forms, and adjustment away from it occurs, but only in response to a deliberate evidentiary trigger — implying that in the absence of such a trigger, the anchor likely persists un-adjusted. That absence-of-trigger case is exactly the risk the dissertation's research question is about, and these four accounts illustrate the mechanism concretely, even though n is too small to test it statistically.</w:t>
      </w:r>
    </w:p>
    <w:p>
      <w:r>
        <w:t>This qualitative pattern is arguably the most defensible finding at this sample size — it comes directly from practitioners' own words, requires no inferential statistics, and directly supports the theoretical model motivating the study.</w:t>
      </w:r>
    </w:p>
    <w:p>
      <w:pPr>
        <w:pStyle w:val="Heading2"/>
      </w:pPr>
      <w:r>
        <w:t>Recommended framing for Chapter 4/5</w:t>
      </w:r>
    </w:p>
    <w:p>
      <w:pPr>
        <w:pStyle w:val="ListNumber"/>
      </w:pPr>
      <w:r>
        <w:t>Report descriptives and reliability with the honest caveat above — do not claim validated measurement.</w:t>
      </w:r>
    </w:p>
    <w:p>
      <w:pPr>
        <w:pStyle w:val="ListNumber"/>
      </w:pPr>
      <w:r>
        <w:t>Lead the results narrative with the qualitative synthesis — it is real signal, not noise.</w:t>
      </w:r>
    </w:p>
    <w:p>
      <w:pPr>
        <w:pStyle w:val="ListNumber"/>
      </w:pPr>
      <w:r>
        <w:t>Present the CFA model as fully specified (in Jamovi) but explicitly not estimated due to insufficient n — this shows the intended analysis was competent and ready, just underpowered, which is a defensible pilot-study position.</w:t>
      </w:r>
    </w:p>
    <w:p>
      <w:pPr>
        <w:pStyle w:val="ListNumber"/>
      </w:pPr>
      <w:r>
        <w:t>Recommendations for future research: replicate with adequate n (the London/Canada recruiting channels raised with Dr. Rey are the natural next step) — this is also the dissertation bridge.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