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cs="Georgia"/>
          <w:b/>
          <w:i w:val="0"/>
          <w:color w:val="1F4E79"/>
          <w:sz w:val="30"/>
        </w:rPr>
        <w:t xml:space="preserve">Audit </w:t>
      </w:r>
      <w:r>
        <w:rPr>
          <w:rFonts w:ascii="Georgia" w:hAnsi="Georgia" w:cs="Georgia"/>
          <w:b w:val="0"/>
          <w:i/>
          <w:color w:val="767D86"/>
          <w:sz w:val="24"/>
        </w:rPr>
        <w:t xml:space="preserve">the </w:t>
      </w:r>
      <w:r>
        <w:rPr>
          <w:rFonts w:ascii="Georgia" w:hAnsi="Georgia" w:cs="Georgia"/>
          <w:b/>
          <w:i w:val="0"/>
          <w:color w:val="1F4E79"/>
          <w:sz w:val="30"/>
        </w:rPr>
        <w:t>Algorithm</w:t>
      </w:r>
    </w:p>
    <w:p>
      <w:pPr>
        <w:spacing w:after="180"/>
        <w:pBdr>
          <w:bottom w:val="single" w:sz="12" w:space="4" w:color="1F4E79"/>
        </w:pBdr>
      </w:pPr>
      <w:r>
        <w:rPr>
          <w:rFonts w:ascii="Consolas" w:hAnsi="Consolas" w:cs="Consolas"/>
          <w:b w:val="0"/>
          <w:i w:val="0"/>
          <w:color w:val="767D86"/>
          <w:sz w:val="15"/>
          <w:spacing w:val="18"/>
        </w:rPr>
        <w:t>github.com/AuditingAI/Profile   ·   auditingai.github.io</w:t>
      </w:r>
    </w:p>
    <w:p>
      <w:pPr>
        <w:spacing w:before="200" w:after="40"/>
      </w:pPr>
      <w:r>
        <w:rPr>
          <w:rFonts w:ascii="Georgia" w:hAnsi="Georgia" w:cs="Georgia"/>
          <w:b/>
          <w:i w:val="0"/>
          <w:color w:val="14171C"/>
          <w:sz w:val="30"/>
        </w:rPr>
        <w:t>Send pack — what goes out, in what order</w:t>
      </w:r>
    </w:p>
    <w:p>
      <w:pPr>
        <w:spacing w:after="320"/>
      </w:pPr>
      <w:r>
        <w:rPr>
          <w:rFonts w:ascii="Consolas" w:hAnsi="Consolas" w:cs="Consolas"/>
          <w:b w:val="0"/>
          <w:i w:val="0"/>
          <w:caps/>
          <w:color w:val="767D86"/>
          <w:sz w:val="16"/>
          <w:spacing w:val="22"/>
        </w:rPr>
        <w:t>GEB 7365 International Business · Prof. William Newburry · Friday 28 August 2026</w:t>
      </w:r>
    </w:p>
    <w:p>
      <w:pPr>
        <w:spacing w:after="180" w:line="276" w:lineRule="auto"/>
        <w:jc w:val="both"/>
      </w:pPr>
      <w:r>
        <w:rPr>
          <w:rFonts w:ascii="Georgia" w:hAnsi="Georgia" w:cs="Georgia"/>
          <w:b/>
          <w:i w:val="0"/>
          <w:color w:val="14171C"/>
          <w:sz w:val="23"/>
        </w:rPr>
        <w:t xml:space="preserve">Nothing here has been sent. </w:t>
      </w:r>
      <w:r>
        <w:rPr>
          <w:rFonts w:ascii="Georgia" w:hAnsi="Georgia" w:cs="Georgia"/>
          <w:b w:val="0"/>
          <w:i w:val="0"/>
          <w:color w:val="14171C"/>
          <w:sz w:val="23"/>
        </w:rPr>
        <w:t xml:space="preserve">Everything below is copy-and-paste. All course correspondence goes from </w:t>
      </w:r>
      <w:r>
        <w:rPr>
          <w:rFonts w:ascii="Georgia" w:hAnsi="Georgia" w:cs="Georgia"/>
          <w:b/>
          <w:i w:val="0"/>
          <w:color w:val="14171C"/>
          <w:sz w:val="23"/>
        </w:rPr>
        <w:t>ymali001@fiu.edu</w:t>
      </w:r>
      <w:r>
        <w:rPr>
          <w:rFonts w:ascii="Georgia" w:hAnsi="Georgia" w:cs="Georgia"/>
          <w:b w:val="0"/>
          <w:i w:val="0"/>
          <w:color w:val="14171C"/>
          <w:sz w:val="23"/>
        </w:rPr>
        <w:t xml:space="preserve"> — never Gmail. A message to a professor arriving from a personal address reads wrong and can miss institutional filters.</w:t>
      </w:r>
    </w:p>
    <w:p>
      <w:pPr>
        <w:spacing w:before="320" w:after="80"/>
      </w:pPr>
      <w:r>
        <w:rPr>
          <w:rFonts w:ascii="Georgia" w:hAnsi="Georgia" w:cs="Georgia"/>
          <w:b/>
          <w:i w:val="0"/>
          <w:color w:val="1F4E79"/>
          <w:sz w:val="24"/>
        </w:rPr>
        <w:t>The order</w:t>
      </w:r>
    </w:p>
    <w:p>
      <w:pPr>
        <w:spacing w:after="180" w:line="276" w:lineRule="auto"/>
        <w:jc w:val="both"/>
      </w:pPr>
      <w:r>
        <w:rPr>
          <w:rFonts w:ascii="Georgia" w:hAnsi="Georgia" w:cs="Georgia"/>
          <w:b w:val="0"/>
          <w:i w:val="0"/>
          <w:color w:val="14171C"/>
          <w:sz w:val="23"/>
        </w:rPr>
        <w:t xml:space="preserve">Three things go out, and the order matters. </w:t>
      </w:r>
      <w:r>
        <w:rPr>
          <w:rFonts w:ascii="Georgia" w:hAnsi="Georgia" w:cs="Georgia"/>
          <w:b/>
          <w:i w:val="0"/>
          <w:color w:val="14171C"/>
          <w:sz w:val="23"/>
        </w:rPr>
        <w:t>First</w:t>
      </w:r>
      <w:r>
        <w:rPr>
          <w:rFonts w:ascii="Georgia" w:hAnsi="Georgia" w:cs="Georgia"/>
          <w:b w:val="0"/>
          <w:i w:val="0"/>
          <w:color w:val="14171C"/>
          <w:sz w:val="23"/>
        </w:rPr>
        <w:t xml:space="preserve">, the Canvas upload — write-up and presentation, both files, same assignment. </w:t>
      </w:r>
      <w:r>
        <w:rPr>
          <w:rFonts w:ascii="Georgia" w:hAnsi="Georgia" w:cs="Georgia"/>
          <w:b/>
          <w:i w:val="0"/>
          <w:color w:val="14171C"/>
          <w:sz w:val="23"/>
        </w:rPr>
        <w:t>Second</w:t>
      </w:r>
      <w:r>
        <w:rPr>
          <w:rFonts w:ascii="Georgia" w:hAnsi="Georgia" w:cs="Georgia"/>
          <w:b w:val="0"/>
          <w:i w:val="0"/>
          <w:color w:val="14171C"/>
          <w:sz w:val="23"/>
        </w:rPr>
        <w:t xml:space="preserve">, the email to Professor Newburry. </w:t>
      </w:r>
      <w:r>
        <w:rPr>
          <w:rFonts w:ascii="Georgia" w:hAnsi="Georgia" w:cs="Georgia"/>
          <w:b/>
          <w:i w:val="0"/>
          <w:color w:val="14171C"/>
          <w:sz w:val="23"/>
        </w:rPr>
        <w:t>Third</w:t>
      </w:r>
      <w:r>
        <w:rPr>
          <w:rFonts w:ascii="Georgia" w:hAnsi="Georgia" w:cs="Georgia"/>
          <w:b w:val="0"/>
          <w:i w:val="0"/>
          <w:color w:val="14171C"/>
          <w:sz w:val="23"/>
        </w:rPr>
        <w:t>, the calendar invite — but only after he replies.</w:t>
      </w:r>
    </w:p>
    <w:p>
      <w:pPr>
        <w:spacing w:after="180" w:line="276" w:lineRule="auto"/>
        <w:jc w:val="both"/>
      </w:pPr>
      <w:r>
        <w:rPr>
          <w:rFonts w:ascii="Georgia" w:hAnsi="Georgia" w:cs="Georgia"/>
          <w:b w:val="0"/>
          <w:i w:val="0"/>
          <w:color w:val="14171C"/>
          <w:sz w:val="23"/>
        </w:rPr>
        <w:t>Why that order: the email says “before I put real work into it.” If the Module 2 submission is not already sitting in Canvas when he opens it, that sentence reads as though nothing has been done yet. Upload first, then write.</w:t>
      </w:r>
    </w:p>
    <w:p>
      <w:pPr>
        <w:spacing w:before="320" w:after="80"/>
      </w:pPr>
      <w:r>
        <w:rPr>
          <w:rFonts w:ascii="Georgia" w:hAnsi="Georgia" w:cs="Georgia"/>
          <w:b/>
          <w:i w:val="0"/>
          <w:color w:val="1F4E79"/>
          <w:sz w:val="24"/>
        </w:rPr>
        <w:t>Who to copy — nobody</w:t>
      </w:r>
    </w:p>
    <w:p>
      <w:pPr>
        <w:spacing w:after="180" w:line="276" w:lineRule="auto"/>
        <w:jc w:val="both"/>
      </w:pPr>
      <w:r>
        <w:rPr>
          <w:rFonts w:ascii="Georgia" w:hAnsi="Georgia" w:cs="Georgia"/>
          <w:b w:val="0"/>
          <w:i w:val="0"/>
          <w:color w:val="14171C"/>
          <w:sz w:val="23"/>
        </w:rPr>
        <w:t>The research project became individual in Thursday’s class. There is no group, so there is no group to copy. Not Daniela — Module 2 is finished and she has no stake in your project. Not Anna — she joined a different group, and copying her re-opens a question that already closed. Not the DBA office — a topic conversation with your instructor is not an administrative matter, and copying an office turns a five-second yes-or-no into a thread. Not your own Gmail — FIU sent mail already lands in the FIU mailbox.</w:t>
      </w:r>
    </w:p>
    <w:p>
      <w:pPr>
        <w:spacing w:after="180" w:line="276" w:lineRule="auto"/>
        <w:jc w:val="both"/>
      </w:pPr>
      <w:r>
        <w:rPr>
          <w:rFonts w:ascii="Georgia" w:hAnsi="Georgia" w:cs="Georgia"/>
          <w:b w:val="0"/>
          <w:i w:val="0"/>
          <w:color w:val="14171C"/>
          <w:sz w:val="23"/>
        </w:rPr>
        <w:t xml:space="preserve">One recipient: </w:t>
      </w:r>
      <w:r>
        <w:rPr>
          <w:rFonts w:ascii="Georgia" w:hAnsi="Georgia" w:cs="Georgia"/>
          <w:b/>
          <w:i w:val="0"/>
          <w:color w:val="14171C"/>
          <w:sz w:val="23"/>
        </w:rPr>
        <w:t>newburry@fiu.edu</w:t>
      </w:r>
      <w:r>
        <w:rPr>
          <w:rFonts w:ascii="Georgia" w:hAnsi="Georgia" w:cs="Georgia"/>
          <w:b w:val="0"/>
          <w:i w:val="0"/>
          <w:color w:val="14171C"/>
          <w:sz w:val="23"/>
        </w:rPr>
        <w:t>. That is the whole answer.</w:t>
      </w:r>
    </w:p>
    <w:p>
      <w:pPr>
        <w:spacing w:before="320" w:after="80"/>
      </w:pPr>
      <w:r>
        <w:rPr>
          <w:rFonts w:ascii="Georgia" w:hAnsi="Georgia" w:cs="Georgia"/>
          <w:b/>
          <w:i w:val="0"/>
          <w:color w:val="1F4E79"/>
          <w:sz w:val="24"/>
        </w:rPr>
        <w:t>1 · Canvas upload</w:t>
      </w:r>
    </w:p>
    <w:p>
      <w:pPr>
        <w:spacing w:after="180" w:line="276" w:lineRule="auto"/>
        <w:jc w:val="both"/>
      </w:pPr>
      <w:r>
        <w:rPr>
          <w:rFonts w:ascii="Georgia" w:hAnsi="Georgia" w:cs="Georgia"/>
          <w:b w:val="0"/>
          <w:i w:val="0"/>
          <w:color w:val="14171C"/>
          <w:sz w:val="23"/>
        </w:rPr>
        <w:t xml:space="preserve">Two files, one assignment. </w:t>
      </w:r>
      <w:r>
        <w:rPr>
          <w:rFonts w:ascii="Georgia" w:hAnsi="Georgia" w:cs="Georgia"/>
          <w:b/>
          <w:i w:val="0"/>
          <w:color w:val="14171C"/>
          <w:sz w:val="23"/>
        </w:rPr>
        <w:t>Malik_GEB7365_ModuleWriteup_Aug27.docx</w:t>
      </w:r>
      <w:r>
        <w:rPr>
          <w:rFonts w:ascii="Georgia" w:hAnsi="Georgia" w:cs="Georgia"/>
          <w:b w:val="0"/>
          <w:i w:val="0"/>
          <w:color w:val="14171C"/>
          <w:sz w:val="23"/>
        </w:rPr>
        <w:t xml:space="preserve"> — 2,214 words of body, roughly 8.9 pages against the ten-page cap, with Appendices A to D after a page break so they do not count toward it. And </w:t>
      </w:r>
      <w:r>
        <w:rPr>
          <w:rFonts w:ascii="Georgia" w:hAnsi="Georgia" w:cs="Georgia"/>
          <w:b/>
          <w:i w:val="0"/>
          <w:color w:val="14171C"/>
          <w:sz w:val="23"/>
        </w:rPr>
        <w:t>GEB7365_Module2_COMBINED.pptx</w:t>
      </w:r>
      <w:r>
        <w:rPr>
          <w:rFonts w:ascii="Georgia" w:hAnsi="Georgia" w:cs="Georgia"/>
          <w:b w:val="0"/>
          <w:i w:val="0"/>
          <w:color w:val="14171C"/>
          <w:sz w:val="23"/>
        </w:rPr>
        <w:t xml:space="preserve"> — eighteen slides, Daniela’s nine preserved exactly as she built them, yours after, three appendix slides at the end. The chart overlaps she flagged on WhatsApp are fixed and verified.</w:t>
      </w:r>
    </w:p>
    <w:p>
      <w:pPr>
        <w:spacing w:after="180" w:line="276" w:lineRule="auto"/>
        <w:jc w:val="both"/>
      </w:pPr>
      <w:r>
        <w:rPr>
          <w:rFonts w:ascii="Georgia" w:hAnsi="Georgia" w:cs="Georgia"/>
          <w:b w:val="0"/>
          <w:i w:val="0"/>
          <w:color w:val="14171C"/>
          <w:sz w:val="23"/>
        </w:rPr>
        <w:t xml:space="preserve">Keep the two PDFs for yourself. </w:t>
      </w:r>
      <w:r>
        <w:rPr>
          <w:rFonts w:ascii="Georgia" w:hAnsi="Georgia" w:cs="Georgia"/>
          <w:b w:val="0"/>
          <w:i/>
          <w:color w:val="14171C"/>
          <w:sz w:val="23"/>
        </w:rPr>
        <w:t>Malik_FIU_DBA_Module2_Deck.pdf</w:t>
      </w:r>
      <w:r>
        <w:rPr>
          <w:rFonts w:ascii="Georgia" w:hAnsi="Georgia" w:cs="Georgia"/>
          <w:b w:val="0"/>
          <w:i w:val="0"/>
          <w:color w:val="14171C"/>
          <w:sz w:val="23"/>
        </w:rPr>
        <w:t xml:space="preserve"> is your own half in FIU colours, for reading on a phone; </w:t>
      </w:r>
      <w:r>
        <w:rPr>
          <w:rFonts w:ascii="Georgia" w:hAnsi="Georgia" w:cs="Georgia"/>
          <w:b w:val="0"/>
          <w:i/>
          <w:color w:val="14171C"/>
          <w:sz w:val="23"/>
        </w:rPr>
        <w:t>Malik_Module2_SHARED_PACK.pdf</w:t>
      </w:r>
      <w:r>
        <w:rPr>
          <w:rFonts w:ascii="Georgia" w:hAnsi="Georgia" w:cs="Georgia"/>
          <w:b w:val="0"/>
          <w:i w:val="0"/>
          <w:color w:val="14171C"/>
          <w:sz w:val="23"/>
        </w:rPr>
        <w:t xml:space="preserve"> is the coordination pack. Neither is uploaded.</w:t>
      </w:r>
    </w:p>
    <w:p>
      <w:pPr>
        <w:spacing w:before="320" w:after="80"/>
      </w:pPr>
      <w:r>
        <w:rPr>
          <w:rFonts w:ascii="Georgia" w:hAnsi="Georgia" w:cs="Georgia"/>
          <w:b/>
          <w:i w:val="0"/>
          <w:color w:val="1F4E79"/>
          <w:sz w:val="24"/>
        </w:rPr>
        <w:t>One thing to fix before the upload</w:t>
      </w:r>
    </w:p>
    <w:p>
      <w:pPr>
        <w:spacing w:after="180" w:line="276" w:lineRule="auto"/>
        <w:jc w:val="both"/>
      </w:pPr>
      <w:r>
        <w:rPr>
          <w:rFonts w:ascii="Georgia" w:hAnsi="Georgia" w:cs="Georgia"/>
          <w:b w:val="0"/>
          <w:i w:val="0"/>
          <w:color w:val="14171C"/>
          <w:sz w:val="23"/>
        </w:rPr>
        <w:t>The last page of the write-up carries a yellow highlighted line in capitals. It is the only unfinished thing in the entire pack.</w:t>
      </w:r>
    </w:p>
    <w:p>
      <w:pPr>
        <w:spacing w:after="180" w:line="276" w:lineRule="auto"/>
        <w:jc w:val="both"/>
      </w:pPr>
      <w:r>
        <w:rPr>
          <w:rFonts w:ascii="Georgia" w:hAnsi="Georgia" w:cs="Georgia"/>
          <w:b/>
          <w:i w:val="0"/>
          <w:color w:val="1F4E79"/>
          <w:sz w:val="23"/>
          <w:highlight w:val="yellow"/>
        </w:rPr>
        <w:t>OPEN THE CURRENT GEB 7365 SYLLABUS ON CANVAS AND READ THE AI SECTION — IT WAS ADDED ON 20 AUGUST AND THE COPY YOU HAVE IS OLDER. IF IT ASKS FOR A PARTICULAR DISCLOSURE FORMAT OR A PERCENTAGE, EDIT THE PARAGRAPH ABOVE THE YELLOW LINE TO MATCH. IF IT DOES NOT, DELETE THE YELLOW LINE AND UPLOAD. EITHER WAY THE YELLOW LINE MUST BE GONE BEFORE YOU SUBMIT.</w:t>
      </w:r>
    </w:p>
    <w:p>
      <w:pPr>
        <w:spacing w:after="180" w:line="276" w:lineRule="auto"/>
        <w:jc w:val="both"/>
      </w:pPr>
      <w:r>
        <w:rPr>
          <w:rFonts w:ascii="Georgia" w:hAnsi="Georgia" w:cs="Georgia"/>
          <w:b w:val="0"/>
          <w:i w:val="0"/>
          <w:color w:val="14171C"/>
          <w:sz w:val="23"/>
        </w:rPr>
        <w:t>The paragraph above that line is already written and already true. It names the tool, states what it was used for, records that every quotation and figure was checked against the source article, and says plainly that the reading, the argument and the interpretation are yours. That is what FIU’s University Graduate School requires.</w:t>
      </w:r>
    </w:p>
    <w:p>
      <w:pPr>
        <w:spacing w:before="320" w:after="80"/>
      </w:pPr>
      <w:r>
        <w:rPr>
          <w:rFonts w:ascii="Georgia" w:hAnsi="Georgia" w:cs="Georgia"/>
          <w:b/>
          <w:i w:val="0"/>
          <w:color w:val="1F4E79"/>
          <w:sz w:val="24"/>
        </w:rPr>
        <w:t>2 · The email</w:t>
      </w:r>
    </w:p>
    <w:p>
      <w:pPr>
        <w:spacing w:after="180" w:line="276" w:lineRule="auto"/>
        <w:jc w:val="both"/>
      </w:pPr>
      <w:r>
        <w:rPr>
          <w:rFonts w:ascii="Georgia" w:hAnsi="Georgia" w:cs="Georgia"/>
          <w:b w:val="0"/>
          <w:i w:val="0"/>
          <w:color w:val="14171C"/>
          <w:sz w:val="23"/>
        </w:rPr>
        <w:t xml:space="preserve">Subject: </w:t>
      </w:r>
      <w:r>
        <w:rPr>
          <w:rFonts w:ascii="Georgia" w:hAnsi="Georgia" w:cs="Georgia"/>
          <w:b/>
          <w:i w:val="0"/>
          <w:color w:val="14171C"/>
          <w:sz w:val="23"/>
        </w:rPr>
        <w:t>GEB 7365 — Tuesday call, individual project (Yasir Malik)</w:t>
      </w:r>
      <w:r>
        <w:rPr>
          <w:rFonts w:ascii="Georgia" w:hAnsi="Georgia" w:cs="Georgia"/>
          <w:b w:val="0"/>
          <w:i w:val="0"/>
          <w:color w:val="14171C"/>
          <w:sz w:val="23"/>
        </w:rPr>
        <w:t xml:space="preserve">. To: newburry@fiu.edu. No copies. The full text is in </w:t>
      </w:r>
      <w:r>
        <w:rPr>
          <w:rFonts w:ascii="Georgia" w:hAnsi="Georgia" w:cs="Georgia"/>
          <w:b/>
          <w:i w:val="0"/>
          <w:color w:val="14171C"/>
          <w:sz w:val="23"/>
        </w:rPr>
        <w:t>SEND_PACK.txt</w:t>
      </w:r>
      <w:r>
        <w:rPr>
          <w:rFonts w:ascii="Georgia" w:hAnsi="Georgia" w:cs="Georgia"/>
          <w:b w:val="0"/>
          <w:i w:val="0"/>
          <w:color w:val="14171C"/>
          <w:sz w:val="23"/>
        </w:rPr>
        <w:t xml:space="preserve"> ready to paste — it is kept in plain text there deliberately, because pasting formatted Word text into an email client carries the formatting with it.</w:t>
      </w:r>
    </w:p>
    <w:p>
      <w:pPr>
        <w:spacing w:after="180" w:line="276" w:lineRule="auto"/>
        <w:jc w:val="both"/>
      </w:pPr>
      <w:r>
        <w:rPr>
          <w:rFonts w:ascii="Georgia" w:hAnsi="Georgia" w:cs="Georgia"/>
          <w:b w:val="0"/>
          <w:i w:val="0"/>
          <w:color w:val="14171C"/>
          <w:sz w:val="23"/>
        </w:rPr>
        <w:t>Nothing in the email is unresolved. The meeting time is hedged inside the message itself — it proposes Tuesday at three and adds that anything after one o’clock works — so there is no fact to confirm before sending. Paste and send.</w:t>
      </w:r>
    </w:p>
    <w:p>
      <w:pPr>
        <w:spacing w:after="180" w:line="276" w:lineRule="auto"/>
        <w:jc w:val="both"/>
      </w:pPr>
      <w:r>
        <w:rPr>
          <w:rFonts w:ascii="Georgia" w:hAnsi="Georgia" w:cs="Georgia"/>
          <w:b w:val="0"/>
          <w:i w:val="0"/>
          <w:color w:val="14171C"/>
          <w:sz w:val="23"/>
        </w:rPr>
        <w:t xml:space="preserve">One sentence to have in your head for the call and </w:t>
      </w:r>
      <w:r>
        <w:rPr>
          <w:rFonts w:ascii="Georgia" w:hAnsi="Georgia" w:cs="Georgia"/>
          <w:b w:val="0"/>
          <w:i/>
          <w:color w:val="14171C"/>
          <w:sz w:val="23"/>
        </w:rPr>
        <w:t>not</w:t>
      </w:r>
      <w:r>
        <w:rPr>
          <w:rFonts w:ascii="Georgia" w:hAnsi="Georgia" w:cs="Georgia"/>
          <w:b w:val="0"/>
          <w:i w:val="0"/>
          <w:color w:val="14171C"/>
          <w:sz w:val="23"/>
        </w:rPr>
        <w:t xml:space="preserve"> in the email: if he steers you away from the auditor-population angle, the fallback is a project that takes one of the four Module 2 papers’ measurement problems — Contractor’s operationalisation of degree of internationalisation, or Mezias’s labour-lawsuit proxy — and makes that the IB topic instead. Said out loud if asked. Keeping it out of the email is deliberate: the first pitch should read as a decision, not a menu.</w:t>
      </w:r>
    </w:p>
    <w:p>
      <w:pPr>
        <w:spacing w:before="320" w:after="80"/>
      </w:pPr>
      <w:r>
        <w:rPr>
          <w:rFonts w:ascii="Georgia" w:hAnsi="Georgia" w:cs="Georgia"/>
          <w:b/>
          <w:i w:val="0"/>
          <w:color w:val="1F4E79"/>
          <w:sz w:val="24"/>
        </w:rPr>
        <w:t>3 · The calendar invite — hold it</w:t>
      </w:r>
    </w:p>
    <w:p>
      <w:pPr>
        <w:spacing w:after="180" w:line="276" w:lineRule="auto"/>
        <w:jc w:val="both"/>
      </w:pPr>
      <w:r>
        <w:rPr>
          <w:rFonts w:ascii="Georgia" w:hAnsi="Georgia" w:cs="Georgia"/>
          <w:b w:val="0"/>
          <w:i w:val="0"/>
          <w:color w:val="14171C"/>
          <w:sz w:val="23"/>
        </w:rPr>
        <w:t>Do not send the invite with the email. You are asking whether three o’clock works; an invite that arrives before the answer has decided for him, and it contradicts the email’s own offer of anything after one. The moment he replies, send it: thirty minutes, Tuesday 1 September, one guest, organised from the FIU address. Book half an hour even if you think it will run longer — a half-hour ask gets accepted, an hour gets deferred. Fields and description text are in SEND_PACK.txt.</w:t>
      </w:r>
    </w:p>
    <w:p>
      <w:pPr>
        <w:spacing w:before="320" w:after="80"/>
      </w:pPr>
      <w:r>
        <w:rPr>
          <w:rFonts w:ascii="Georgia" w:hAnsi="Georgia" w:cs="Georgia"/>
          <w:b/>
          <w:i w:val="0"/>
          <w:color w:val="1F4E79"/>
          <w:sz w:val="24"/>
        </w:rPr>
        <w:t>Daniela — optional, and small</w:t>
      </w:r>
    </w:p>
    <w:p>
      <w:pPr>
        <w:spacing w:after="180" w:line="276" w:lineRule="auto"/>
        <w:jc w:val="both"/>
      </w:pPr>
      <w:r>
        <w:rPr>
          <w:rFonts w:ascii="Georgia" w:hAnsi="Georgia" w:cs="Georgia"/>
          <w:b w:val="0"/>
          <w:i w:val="0"/>
          <w:color w:val="14171C"/>
          <w:sz w:val="23"/>
        </w:rPr>
        <w:t>The long coordination message drafted before class is closed and should not be sent; it answers a question that resolved itself in the room, and Newburry’s own note was that the presentation was well-coordinated for a first one. If you want to close the loop, two lines cover it: thanks for the coordination on Module 2, that went well, good luck with the rest of the term. Send it or don’t — nothing depends on it.</w:t>
      </w:r>
    </w:p>
    <w:p>
      <w:pPr>
        <w:spacing w:before="320" w:after="100"/>
      </w:pPr>
      <w:r>
        <w:rPr>
          <w:rFonts w:ascii="Georgia" w:hAnsi="Georgia" w:cs="Georgia"/>
          <w:b/>
          <w:i w:val="0"/>
          <w:color w:val="1F4E79"/>
          <w:sz w:val="24"/>
        </w:rPr>
        <w:t>What is done and what is still open</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line="240" w:lineRule="auto"/>
            </w:pPr>
            <w:r>
              <w:rPr>
                <w:rFonts w:ascii="Georgia" w:hAnsi="Georgia" w:cs="Georgia"/>
                <w:b/>
                <w:i w:val="0"/>
                <w:color w:val="1F4E79"/>
                <w:sz w:val="17"/>
              </w:rPr>
              <w:t>Item</w:t>
            </w:r>
          </w:p>
        </w:tc>
        <w:tc>
          <w:tcPr>
            <w:tcW w:type="dxa" w:w="3120"/>
          </w:tcPr>
          <w:p>
            <w:pPr>
              <w:spacing w:after="40" w:line="240" w:lineRule="auto"/>
            </w:pPr>
            <w:r>
              <w:rPr>
                <w:rFonts w:ascii="Georgia" w:hAnsi="Georgia" w:cs="Georgia"/>
                <w:b/>
                <w:i w:val="0"/>
                <w:color w:val="1F4E79"/>
                <w:sz w:val="17"/>
              </w:rPr>
              <w:t>State</w:t>
            </w:r>
          </w:p>
        </w:tc>
        <w:tc>
          <w:tcPr>
            <w:tcW w:type="dxa" w:w="3120"/>
          </w:tcPr>
          <w:p>
            <w:pPr>
              <w:spacing w:after="40" w:line="240" w:lineRule="auto"/>
            </w:pPr>
            <w:r>
              <w:rPr>
                <w:rFonts w:ascii="Georgia" w:hAnsi="Georgia" w:cs="Georgia"/>
                <w:b/>
                <w:i w:val="0"/>
                <w:color w:val="1F4E79"/>
                <w:sz w:val="17"/>
              </w:rPr>
              <w:t>Who closes it</w:t>
            </w:r>
          </w:p>
        </w:tc>
      </w:tr>
      <w:tr>
        <w:tc>
          <w:tcPr>
            <w:tcW w:type="dxa" w:w="3120"/>
          </w:tcPr>
          <w:p>
            <w:pPr>
              <w:spacing w:after="40" w:line="240" w:lineRule="auto"/>
            </w:pPr>
            <w:r>
              <w:rPr>
                <w:rFonts w:ascii="Georgia" w:hAnsi="Georgia" w:cs="Georgia"/>
                <w:b/>
                <w:i w:val="0"/>
                <w:color w:val="14171C"/>
                <w:sz w:val="17"/>
              </w:rPr>
              <w:t>Write-up, 8.9 pp, 2 tables, 4 appendices</w:t>
            </w:r>
          </w:p>
        </w:tc>
        <w:tc>
          <w:tcPr>
            <w:tcW w:type="dxa" w:w="3120"/>
          </w:tcPr>
          <w:p>
            <w:pPr>
              <w:spacing w:after="40" w:line="240" w:lineRule="auto"/>
            </w:pPr>
            <w:r>
              <w:rPr>
                <w:rFonts w:ascii="Georgia" w:hAnsi="Georgia" w:cs="Georgia"/>
                <w:b w:val="0"/>
                <w:i w:val="0"/>
                <w:color w:val="14171C"/>
                <w:sz w:val="17"/>
              </w:rPr>
              <w:t>Built and on disk</w:t>
            </w:r>
          </w:p>
        </w:tc>
        <w:tc>
          <w:tcPr>
            <w:tcW w:type="dxa" w:w="3120"/>
          </w:tcPr>
          <w:p>
            <w:pPr>
              <w:spacing w:after="40" w:line="240" w:lineRule="auto"/>
            </w:pPr>
            <w:r>
              <w:rPr>
                <w:rFonts w:ascii="Georgia" w:hAnsi="Georgia" w:cs="Georgia"/>
                <w:b w:val="0"/>
                <w:i w:val="0"/>
                <w:color w:val="14171C"/>
                <w:sz w:val="17"/>
              </w:rPr>
              <w:t>—</w:t>
            </w:r>
          </w:p>
        </w:tc>
      </w:tr>
      <w:tr>
        <w:tc>
          <w:tcPr>
            <w:tcW w:type="dxa" w:w="3120"/>
          </w:tcPr>
          <w:p>
            <w:pPr>
              <w:spacing w:after="40" w:line="240" w:lineRule="auto"/>
            </w:pPr>
            <w:r>
              <w:rPr>
                <w:rFonts w:ascii="Georgia" w:hAnsi="Georgia" w:cs="Georgia"/>
                <w:b/>
                <w:i w:val="0"/>
                <w:color w:val="14171C"/>
                <w:sz w:val="17"/>
              </w:rPr>
              <w:t>Combined deck, 18 slides, overlaps fixed</w:t>
            </w:r>
          </w:p>
        </w:tc>
        <w:tc>
          <w:tcPr>
            <w:tcW w:type="dxa" w:w="3120"/>
          </w:tcPr>
          <w:p>
            <w:pPr>
              <w:spacing w:after="40" w:line="240" w:lineRule="auto"/>
            </w:pPr>
            <w:r>
              <w:rPr>
                <w:rFonts w:ascii="Georgia" w:hAnsi="Georgia" w:cs="Georgia"/>
                <w:b w:val="0"/>
                <w:i w:val="0"/>
                <w:color w:val="14171C"/>
                <w:sz w:val="17"/>
              </w:rPr>
              <w:t>Built and verified</w:t>
            </w:r>
          </w:p>
        </w:tc>
        <w:tc>
          <w:tcPr>
            <w:tcW w:type="dxa" w:w="3120"/>
          </w:tcPr>
          <w:p>
            <w:pPr>
              <w:spacing w:after="40" w:line="240" w:lineRule="auto"/>
            </w:pPr>
            <w:r>
              <w:rPr>
                <w:rFonts w:ascii="Georgia" w:hAnsi="Georgia" w:cs="Georgia"/>
                <w:b w:val="0"/>
                <w:i w:val="0"/>
                <w:color w:val="14171C"/>
                <w:sz w:val="17"/>
              </w:rPr>
              <w:t>—</w:t>
            </w:r>
          </w:p>
        </w:tc>
      </w:tr>
      <w:tr>
        <w:tc>
          <w:tcPr>
            <w:tcW w:type="dxa" w:w="3120"/>
          </w:tcPr>
          <w:p>
            <w:pPr>
              <w:spacing w:after="40" w:line="240" w:lineRule="auto"/>
            </w:pPr>
            <w:r>
              <w:rPr>
                <w:rFonts w:ascii="Georgia" w:hAnsi="Georgia" w:cs="Georgia"/>
                <w:b/>
                <w:i w:val="0"/>
                <w:color w:val="14171C"/>
                <w:sz w:val="17"/>
              </w:rPr>
              <w:t>Email to Newburry</w:t>
            </w:r>
          </w:p>
        </w:tc>
        <w:tc>
          <w:tcPr>
            <w:tcW w:type="dxa" w:w="3120"/>
          </w:tcPr>
          <w:p>
            <w:pPr>
              <w:spacing w:after="40" w:line="240" w:lineRule="auto"/>
            </w:pPr>
            <w:r>
              <w:rPr>
                <w:rFonts w:ascii="Georgia" w:hAnsi="Georgia" w:cs="Georgia"/>
                <w:b w:val="0"/>
                <w:i w:val="0"/>
                <w:color w:val="14171C"/>
                <w:sz w:val="17"/>
              </w:rPr>
              <w:t>Written, zero open questions</w:t>
            </w:r>
          </w:p>
        </w:tc>
        <w:tc>
          <w:tcPr>
            <w:tcW w:type="dxa" w:w="3120"/>
          </w:tcPr>
          <w:p>
            <w:pPr>
              <w:spacing w:after="40" w:line="240" w:lineRule="auto"/>
            </w:pPr>
            <w:r>
              <w:rPr>
                <w:rFonts w:ascii="Georgia" w:hAnsi="Georgia" w:cs="Georgia"/>
                <w:b w:val="0"/>
                <w:i w:val="0"/>
                <w:color w:val="14171C"/>
                <w:sz w:val="17"/>
              </w:rPr>
              <w:t>—</w:t>
            </w:r>
          </w:p>
        </w:tc>
      </w:tr>
      <w:tr>
        <w:tc>
          <w:tcPr>
            <w:tcW w:type="dxa" w:w="3120"/>
          </w:tcPr>
          <w:p>
            <w:pPr>
              <w:spacing w:after="40" w:line="240" w:lineRule="auto"/>
            </w:pPr>
            <w:r>
              <w:rPr>
                <w:rFonts w:ascii="Georgia" w:hAnsi="Georgia" w:cs="Georgia"/>
                <w:b/>
                <w:i w:val="0"/>
                <w:color w:val="14171C"/>
                <w:sz w:val="17"/>
              </w:rPr>
              <w:t>Yellow line on the write-up’s last page</w:t>
            </w:r>
          </w:p>
        </w:tc>
        <w:tc>
          <w:tcPr>
            <w:tcW w:type="dxa" w:w="3120"/>
          </w:tcPr>
          <w:p>
            <w:pPr>
              <w:spacing w:after="40" w:line="240" w:lineRule="auto"/>
            </w:pPr>
            <w:r>
              <w:rPr>
                <w:rFonts w:ascii="Georgia" w:hAnsi="Georgia" w:cs="Georgia"/>
                <w:b w:val="0"/>
                <w:i w:val="0"/>
                <w:color w:val="14171C"/>
                <w:sz w:val="17"/>
              </w:rPr>
              <w:t>OPEN</w:t>
            </w:r>
          </w:p>
        </w:tc>
        <w:tc>
          <w:tcPr>
            <w:tcW w:type="dxa" w:w="3120"/>
          </w:tcPr>
          <w:p>
            <w:pPr>
              <w:spacing w:after="40" w:line="240" w:lineRule="auto"/>
            </w:pPr>
            <w:r>
              <w:rPr>
                <w:rFonts w:ascii="Georgia" w:hAnsi="Georgia" w:cs="Georgia"/>
                <w:b w:val="0"/>
                <w:i w:val="0"/>
                <w:color w:val="14171C"/>
                <w:sz w:val="17"/>
              </w:rPr>
              <w:t>You, after checking Canvas</w:t>
            </w:r>
          </w:p>
        </w:tc>
      </w:tr>
      <w:tr>
        <w:tc>
          <w:tcPr>
            <w:tcW w:type="dxa" w:w="3120"/>
          </w:tcPr>
          <w:p>
            <w:pPr>
              <w:spacing w:after="40" w:line="240" w:lineRule="auto"/>
            </w:pPr>
            <w:r>
              <w:rPr>
                <w:rFonts w:ascii="Georgia" w:hAnsi="Georgia" w:cs="Georgia"/>
                <w:b/>
                <w:i w:val="0"/>
                <w:color w:val="14171C"/>
                <w:sz w:val="17"/>
              </w:rPr>
              <w:t>Both files uploaded to Canvas</w:t>
            </w:r>
          </w:p>
        </w:tc>
        <w:tc>
          <w:tcPr>
            <w:tcW w:type="dxa" w:w="3120"/>
          </w:tcPr>
          <w:p>
            <w:pPr>
              <w:spacing w:after="40" w:line="240" w:lineRule="auto"/>
            </w:pPr>
            <w:r>
              <w:rPr>
                <w:rFonts w:ascii="Georgia" w:hAnsi="Georgia" w:cs="Georgia"/>
                <w:b w:val="0"/>
                <w:i w:val="0"/>
                <w:color w:val="14171C"/>
                <w:sz w:val="17"/>
              </w:rPr>
              <w:t>OPEN</w:t>
            </w:r>
          </w:p>
        </w:tc>
        <w:tc>
          <w:tcPr>
            <w:tcW w:type="dxa" w:w="3120"/>
          </w:tcPr>
          <w:p>
            <w:pPr>
              <w:spacing w:after="40" w:line="240" w:lineRule="auto"/>
            </w:pPr>
            <w:r>
              <w:rPr>
                <w:rFonts w:ascii="Georgia" w:hAnsi="Georgia" w:cs="Georgia"/>
                <w:b w:val="0"/>
                <w:i w:val="0"/>
                <w:color w:val="14171C"/>
                <w:sz w:val="17"/>
              </w:rPr>
              <w:t>You</w:t>
            </w:r>
          </w:p>
        </w:tc>
      </w:tr>
      <w:tr>
        <w:tc>
          <w:tcPr>
            <w:tcW w:type="dxa" w:w="3120"/>
          </w:tcPr>
          <w:p>
            <w:pPr>
              <w:spacing w:after="40" w:line="240" w:lineRule="auto"/>
            </w:pPr>
            <w:r>
              <w:rPr>
                <w:rFonts w:ascii="Georgia" w:hAnsi="Georgia" w:cs="Georgia"/>
                <w:b/>
                <w:i w:val="0"/>
                <w:color w:val="14171C"/>
                <w:sz w:val="17"/>
              </w:rPr>
              <w:t>Email sent from ymali001@fiu.edu</w:t>
            </w:r>
          </w:p>
        </w:tc>
        <w:tc>
          <w:tcPr>
            <w:tcW w:type="dxa" w:w="3120"/>
          </w:tcPr>
          <w:p>
            <w:pPr>
              <w:spacing w:after="40" w:line="240" w:lineRule="auto"/>
            </w:pPr>
            <w:r>
              <w:rPr>
                <w:rFonts w:ascii="Georgia" w:hAnsi="Georgia" w:cs="Georgia"/>
                <w:b w:val="0"/>
                <w:i w:val="0"/>
                <w:color w:val="14171C"/>
                <w:sz w:val="17"/>
              </w:rPr>
              <w:t>OPEN</w:t>
            </w:r>
          </w:p>
        </w:tc>
        <w:tc>
          <w:tcPr>
            <w:tcW w:type="dxa" w:w="3120"/>
          </w:tcPr>
          <w:p>
            <w:pPr>
              <w:spacing w:after="40" w:line="240" w:lineRule="auto"/>
            </w:pPr>
            <w:r>
              <w:rPr>
                <w:rFonts w:ascii="Georgia" w:hAnsi="Georgia" w:cs="Georgia"/>
                <w:b w:val="0"/>
                <w:i w:val="0"/>
                <w:color w:val="14171C"/>
                <w:sz w:val="17"/>
              </w:rPr>
              <w:t>You</w:t>
            </w:r>
          </w:p>
        </w:tc>
      </w:tr>
      <w:tr>
        <w:tc>
          <w:tcPr>
            <w:tcW w:type="dxa" w:w="3120"/>
          </w:tcPr>
          <w:p>
            <w:pPr>
              <w:spacing w:after="40" w:line="240" w:lineRule="auto"/>
            </w:pPr>
            <w:r>
              <w:rPr>
                <w:rFonts w:ascii="Georgia" w:hAnsi="Georgia" w:cs="Georgia"/>
                <w:b/>
                <w:i w:val="0"/>
                <w:color w:val="14171C"/>
                <w:sz w:val="17"/>
              </w:rPr>
              <w:t>Calendar invite</w:t>
            </w:r>
          </w:p>
        </w:tc>
        <w:tc>
          <w:tcPr>
            <w:tcW w:type="dxa" w:w="3120"/>
          </w:tcPr>
          <w:p>
            <w:pPr>
              <w:spacing w:after="40" w:line="240" w:lineRule="auto"/>
            </w:pPr>
            <w:r>
              <w:rPr>
                <w:rFonts w:ascii="Georgia" w:hAnsi="Georgia" w:cs="Georgia"/>
                <w:b w:val="0"/>
                <w:i w:val="0"/>
                <w:color w:val="14171C"/>
                <w:sz w:val="17"/>
              </w:rPr>
              <w:t>HOLD until he replies</w:t>
            </w:r>
          </w:p>
        </w:tc>
        <w:tc>
          <w:tcPr>
            <w:tcW w:type="dxa" w:w="3120"/>
          </w:tcPr>
          <w:p>
            <w:pPr>
              <w:spacing w:after="40" w:line="240" w:lineRule="auto"/>
            </w:pPr>
            <w:r>
              <w:rPr>
                <w:rFonts w:ascii="Georgia" w:hAnsi="Georgia" w:cs="Georgia"/>
                <w:b w:val="0"/>
                <w:i w:val="0"/>
                <w:color w:val="14171C"/>
                <w:sz w:val="17"/>
              </w:rPr>
              <w:t>You</w:t>
            </w:r>
          </w:p>
        </w:tc>
      </w:tr>
    </w:tbl>
    <w:p>
      <w:r>
        <w:br w:type="page"/>
      </w:r>
    </w:p>
    <w:p>
      <w:pPr>
        <w:spacing w:before="280" w:after="80"/>
      </w:pPr>
      <w:r>
        <w:rPr>
          <w:rFonts w:ascii="Georgia" w:hAnsi="Georgia" w:cs="Georgia"/>
          <w:b/>
          <w:i w:val="0"/>
          <w:color w:val="1F4E79"/>
          <w:sz w:val="24"/>
        </w:rPr>
        <w:t>Appendix · Owed, but not tonight</w:t>
      </w:r>
    </w:p>
    <w:p>
      <w:pPr>
        <w:spacing w:after="160" w:line="276" w:lineRule="auto"/>
        <w:jc w:val="both"/>
      </w:pPr>
      <w:r>
        <w:rPr>
          <w:rFonts w:ascii="Georgia" w:hAnsi="Georgia" w:cs="Georgia"/>
          <w:b w:val="0"/>
          <w:i w:val="0"/>
          <w:color w:val="14171C"/>
          <w:sz w:val="23"/>
        </w:rPr>
        <w:t>Three things are getting older and none of them belong in tonight’s send, but they should not disappear from view either.</w:t>
      </w:r>
    </w:p>
    <w:p>
      <w:pPr>
        <w:spacing w:after="160" w:line="276" w:lineRule="auto"/>
        <w:jc w:val="both"/>
      </w:pPr>
      <w:r>
        <w:rPr>
          <w:rFonts w:ascii="Georgia" w:hAnsi="Georgia" w:cs="Georgia"/>
          <w:b w:val="0"/>
          <w:i w:val="0"/>
          <w:color w:val="14171C"/>
          <w:sz w:val="23"/>
        </w:rPr>
        <w:t xml:space="preserve">The GEB 7365 syllabus still needs re-downloading — the AI section was added on 20 August and has not been read, which is why the yellow line exists at all. Chapters 4 to 6 have been owed to Dr. Rey since 28 July. And FIU’s University Graduate School policy, section 3.2, requires the </w:t>
      </w:r>
      <w:r>
        <w:rPr>
          <w:rFonts w:ascii="Georgia" w:hAnsi="Georgia" w:cs="Georgia"/>
          <w:b w:val="0"/>
          <w:i/>
          <w:color w:val="14171C"/>
          <w:sz w:val="23"/>
        </w:rPr>
        <w:t>committee</w:t>
      </w:r>
      <w:r>
        <w:rPr>
          <w:rFonts w:ascii="Georgia" w:hAnsi="Georgia" w:cs="Georgia"/>
          <w:b w:val="0"/>
          <w:i w:val="0"/>
          <w:color w:val="14171C"/>
          <w:sz w:val="23"/>
        </w:rPr>
        <w:t xml:space="preserve"> to review and approve the use of AI in the dissertation work; that has never been asked for. The last of the three is the one that matters most, because disclosure without approval does not satisfy the policy.</w:t>
      </w:r>
    </w:p>
    <w:p>
      <w:pPr>
        <w:spacing w:before="280" w:after="60"/>
        <w:pBdr>
          <w:bottom w:val="single" w:sz="6" w:space="4" w:color="D8D4CB"/>
        </w:pBdr>
      </w:pPr>
      <w:r>
        <w:rPr>
          <w:rFonts w:ascii="Consolas" w:hAnsi="Consolas" w:cs="Consolas"/>
          <w:b/>
          <w:i w:val="0"/>
          <w:caps/>
          <w:color w:val="767D86"/>
          <w:sz w:val="16"/>
          <w:spacing w:val="22"/>
        </w:rPr>
        <w:t>Provenance</w:t>
      </w:r>
    </w:p>
    <w:p>
      <w:pPr>
        <w:spacing w:after="100" w:line="264" w:lineRule="auto"/>
      </w:pPr>
      <w:r>
        <w:rPr>
          <w:rFonts w:ascii="Georgia" w:hAnsi="Georgia" w:cs="Georgia"/>
          <w:b w:val="0"/>
          <w:i w:val="0"/>
          <w:color w:val="767D86"/>
          <w:sz w:val="18"/>
        </w:rPr>
        <w:t>Assembled from files in this repository: the Module 2 write-up and combined deck, EMAIL_DRAFT_Newburry.md, MESSAGE_DRAFT_Daniela.md, and the GEB 7365 course tracker. The class facts — individual project, Tuesday meeting after 1:00 PM — come from the 27 August session transcript. The work, the argument and the research are Yasir A. Malik’s; this document is an assembly and formatting aid drafted with Claude.</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76" w:lineRule="auto"/>
    </w:pPr>
    <w:rPr>
      <w:rFonts w:ascii="Georgia" w:hAnsi="Georgia"/>
      <w:color w:val="14171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