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cs="Georgia"/>
          <w:b/>
          <w:i w:val="0"/>
          <w:color w:val="1F4E79"/>
          <w:sz w:val="30"/>
        </w:rPr>
        <w:t xml:space="preserve">Audit </w:t>
      </w:r>
      <w:r>
        <w:rPr>
          <w:rFonts w:ascii="Georgia" w:hAnsi="Georgia" w:cs="Georgia"/>
          <w:b w:val="0"/>
          <w:i/>
          <w:color w:val="767D86"/>
          <w:sz w:val="24"/>
        </w:rPr>
        <w:t xml:space="preserve">the </w:t>
      </w:r>
      <w:r>
        <w:rPr>
          <w:rFonts w:ascii="Georgia" w:hAnsi="Georgia" w:cs="Georgia"/>
          <w:b/>
          <w:i w:val="0"/>
          <w:color w:val="1F4E79"/>
          <w:sz w:val="30"/>
        </w:rPr>
        <w:t>Algorithm</w:t>
      </w:r>
    </w:p>
    <w:p>
      <w:pPr>
        <w:spacing w:after="180"/>
        <w:pBdr>
          <w:bottom w:val="single" w:sz="12" w:space="4" w:color="1F4E79"/>
        </w:pBdr>
      </w:pPr>
      <w:r>
        <w:rPr>
          <w:rFonts w:ascii="Consolas" w:hAnsi="Consolas" w:cs="Consolas"/>
          <w:b w:val="0"/>
          <w:i w:val="0"/>
          <w:color w:val="767D86"/>
          <w:sz w:val="15"/>
          <w:spacing w:val="18"/>
        </w:rPr>
        <w:t>github.com/AuditingAI/Profile   ·   auditingai.github.io</w:t>
      </w:r>
    </w:p>
    <w:p>
      <w:pPr>
        <w:spacing w:before="200" w:after="40"/>
      </w:pPr>
      <w:r>
        <w:rPr>
          <w:rFonts w:ascii="Georgia" w:hAnsi="Georgia" w:cs="Georgia"/>
          <w:b/>
          <w:i w:val="0"/>
          <w:color w:val="14171C"/>
          <w:sz w:val="30"/>
        </w:rPr>
        <w:t>Learning Memo 1 — Getting Started</w:t>
      </w:r>
    </w:p>
    <w:p>
      <w:pPr>
        <w:spacing w:after="320"/>
      </w:pPr>
      <w:r>
        <w:rPr>
          <w:rFonts w:ascii="Consolas" w:hAnsi="Consolas" w:cs="Consolas"/>
          <w:b w:val="0"/>
          <w:i w:val="0"/>
          <w:caps/>
          <w:color w:val="767D86"/>
          <w:sz w:val="16"/>
          <w:spacing w:val="22"/>
        </w:rPr>
        <w:t>Yasir A. Malik  ·  GEB 7911 Qualitative Research Methods  ·  Dr. Cristina Gonzalez  ·  20 August 2026</w:t>
      </w:r>
    </w:p>
    <w:p>
      <w:pPr>
        <w:spacing w:after="180" w:line="276" w:lineRule="auto"/>
        <w:jc w:val="both"/>
      </w:pPr>
      <w:r>
        <w:rPr>
          <w:rFonts w:ascii="Georgia" w:hAnsi="Georgia" w:cs="Georgia"/>
          <w:b w:val="0"/>
          <w:i w:val="0"/>
          <w:color w:val="14171C"/>
          <w:sz w:val="23"/>
        </w:rPr>
        <w:t>I came to this course having just finished a study that could not be finished. That sounds like a complaint. It is the most useful thing that has happened in my doctoral work, and it is why the difference between qualitative and quantitative inquiry is not abstract to me.</w:t>
      </w:r>
    </w:p>
    <w:p>
      <w:pPr>
        <w:spacing w:after="180" w:line="276" w:lineRule="auto"/>
        <w:jc w:val="both"/>
      </w:pPr>
      <w:r>
        <w:rPr>
          <w:rFonts w:ascii="Georgia" w:hAnsi="Georgia" w:cs="Georgia"/>
          <w:b w:val="0"/>
          <w:i w:val="0"/>
          <w:color w:val="14171C"/>
          <w:sz w:val="23"/>
        </w:rPr>
        <w:t>My qualifying study specified an eleven-construct model with fifty-five items and needed roughly one hundred experienced auditors. Applying my eligibility criteria to a commercial research panel of 334,976 members returned approximately twenty eligible people — a prevalence near six per hundred thousand. Of twenty-three raw responses, four survived screening. Fifty-five observed variables against four cases is not an underpowered model; it is not a model at all.</w:t>
      </w:r>
    </w:p>
    <w:p>
      <w:pPr>
        <w:spacing w:after="180" w:line="276" w:lineRule="auto"/>
        <w:jc w:val="both"/>
      </w:pPr>
      <w:r>
        <w:rPr>
          <w:rFonts w:ascii="Georgia" w:hAnsi="Georgia" w:cs="Georgia"/>
          <w:b w:val="0"/>
          <w:i w:val="0"/>
          <w:color w:val="14171C"/>
          <w:sz w:val="23"/>
        </w:rPr>
        <w:t>What I have come to think is that this was never a recruitment failure. It was a mismatch between a question and a method. A survey's claim to knowledge rests on many observations each contributing a little; mine needed enough of them to estimate fifty-five parameters. The same small population that made that impossible could support a focused qualitative study. Method is not a preference; it is a function of what the population can supply. What persuades me this is insight rather than hindsight is that I wrote it down before I enrolled: my screening log of 22 July records that the open-text responses were “genuinely rich and audit-literate — worth a short qualitative synthesis regardless of what quantitative path is chosen.” I could see the data was speaking. I had no framework for listening to it.</w:t>
      </w:r>
    </w:p>
    <w:p>
      <w:pPr>
        <w:spacing w:after="180" w:line="276" w:lineRule="auto"/>
        <w:jc w:val="both"/>
      </w:pPr>
      <w:r>
        <w:rPr>
          <w:rFonts w:ascii="Georgia" w:hAnsi="Georgia" w:cs="Georgia"/>
          <w:b w:val="0"/>
          <w:i w:val="0"/>
          <w:color w:val="14171C"/>
          <w:sz w:val="23"/>
        </w:rPr>
        <w:t xml:space="preserve">Gioia and Chittipeddi (1991) sharpened that. Their study is built inside a single organization, following one change process — an n that would have ended my paper before it began, and it is on our reading list anyway. On a first reading the question I could not put down was where its credibility comes from, given it never claims to represent a population. What I take provisionally is that rigour here is </w:t>
      </w:r>
      <w:r>
        <w:rPr>
          <w:rFonts w:ascii="Georgia" w:hAnsi="Georgia" w:cs="Georgia"/>
          <w:b w:val="0"/>
          <w:i/>
          <w:color w:val="14171C"/>
          <w:sz w:val="23"/>
        </w:rPr>
        <w:t>argued</w:t>
      </w:r>
      <w:r>
        <w:rPr>
          <w:rFonts w:ascii="Georgia" w:hAnsi="Georgia" w:cs="Georgia"/>
          <w:b w:val="0"/>
          <w:i w:val="0"/>
          <w:color w:val="14171C"/>
          <w:sz w:val="23"/>
        </w:rPr>
        <w:t xml:space="preserve"> rather than calculated: the reader is shown the route from what was observed to what is claimed, and judges that route. My survey offered no route. It offered a statistic it had not earned.</w:t>
      </w:r>
    </w:p>
    <w:p>
      <w:pPr>
        <w:spacing w:after="180" w:line="276" w:lineRule="auto"/>
        <w:jc w:val="both"/>
      </w:pPr>
      <w:r>
        <w:rPr>
          <w:rFonts w:ascii="Georgia" w:hAnsi="Georgia" w:cs="Georgia"/>
          <w:b w:val="0"/>
          <w:i w:val="0"/>
          <w:color w:val="14171C"/>
          <w:sz w:val="23"/>
        </w:rPr>
        <w:t>This changes what I intend to do next. My dissertation extension argues a three-link chain — system-generated output functioning as an anchor, then a model agreeing with a stated position rather than challenging it, then successive systems converging on each other rather than on evidence. The first is a question of magnitude and a survey suits it. The second is not. Whether an auditor defers to a machine-generated starting point, and what they tell themselves while doing it, is a question about reasoning and account-giving. A small number of purposefully selected interviews could reach it. A hundred survey responses would report that it happened without showing how.</w:t>
      </w:r>
    </w:p>
    <w:p>
      <w:pPr>
        <w:spacing w:after="180" w:line="276" w:lineRule="auto"/>
        <w:jc w:val="both"/>
      </w:pPr>
      <w:r>
        <w:rPr>
          <w:rFonts w:ascii="Georgia" w:hAnsi="Georgia" w:cs="Georgia"/>
          <w:b w:val="0"/>
          <w:i w:val="0"/>
          <w:color w:val="14171C"/>
          <w:sz w:val="23"/>
        </w:rPr>
        <w:t>I want to leave this term able to explain why a qualitative design produces credible evidence, and to know which of my questions deserves which method before I spend anything on it.</w:t>
      </w:r>
    </w:p>
    <w:p>
      <w:pPr>
        <w:spacing w:before="280" w:after="60"/>
        <w:pBdr>
          <w:bottom w:val="single" w:sz="6" w:space="4" w:color="D8D4CB"/>
        </w:pBdr>
      </w:pPr>
      <w:r>
        <w:rPr>
          <w:rFonts w:ascii="Consolas" w:hAnsi="Consolas" w:cs="Consolas"/>
          <w:b/>
          <w:i w:val="0"/>
          <w:caps/>
          <w:color w:val="767D86"/>
          <w:sz w:val="16"/>
          <w:spacing w:val="22"/>
        </w:rPr>
        <w:t>Sources referenced</w:t>
      </w:r>
    </w:p>
    <w:p>
      <w:pPr>
        <w:spacing w:after="100" w:line="264" w:lineRule="auto"/>
      </w:pPr>
      <w:r>
        <w:rPr>
          <w:rFonts w:ascii="Georgia" w:hAnsi="Georgia" w:cs="Georgia"/>
          <w:b w:val="0"/>
          <w:i w:val="0"/>
          <w:color w:val="767D86"/>
          <w:sz w:val="18"/>
        </w:rPr>
        <w:t xml:space="preserve">Gioia, D. A., &amp; Chittipeddi, K. (1991). </w:t>
      </w:r>
      <w:r>
        <w:rPr>
          <w:rFonts w:ascii="Georgia" w:hAnsi="Georgia" w:cs="Georgia"/>
          <w:b w:val="0"/>
          <w:i/>
          <w:color w:val="767D86"/>
          <w:sz w:val="18"/>
        </w:rPr>
        <w:t>Strategic Management Journal</w:t>
      </w:r>
      <w:r>
        <w:rPr>
          <w:rFonts w:ascii="Georgia" w:hAnsi="Georgia" w:cs="Georgia"/>
          <w:b w:val="0"/>
          <w:i w:val="0"/>
          <w:color w:val="767D86"/>
          <w:sz w:val="18"/>
        </w:rPr>
        <w:t xml:space="preserve">, 12(6). Assigned reading, Week 1. </w:t>
      </w:r>
      <w:r>
        <w:rPr>
          <w:rFonts w:ascii="Georgia" w:hAnsi="Georgia" w:cs="Georgia"/>
          <w:b/>
          <w:i w:val="0"/>
          <w:caps/>
          <w:color w:val="1F4E79"/>
          <w:sz w:val="18"/>
          <w:highlight w:val="yellow"/>
        </w:rPr>
        <w:t>[CONFIRM FULL TITLE AND PAGE RANGE FROM THE PDF BEFORE SUBMITTING]</w:t>
      </w:r>
    </w:p>
    <w:p>
      <w:pPr>
        <w:spacing w:after="100" w:line="264" w:lineRule="auto"/>
      </w:pPr>
      <w:r>
        <w:rPr>
          <w:rFonts w:ascii="Georgia" w:hAnsi="Georgia" w:cs="Georgia"/>
          <w:b w:val="0"/>
          <w:i w:val="0"/>
          <w:color w:val="767D86"/>
          <w:sz w:val="18"/>
        </w:rPr>
        <w:t>Malik, Y. A. (2026). Data screening and exclusion log, 22 July 2026. Author's own research record — quoted passage at the entry on open-text responses. Repository: github.com/AuditingAI/Profile</w:t>
      </w:r>
    </w:p>
    <w:p>
      <w:pPr>
        <w:spacing w:after="100" w:line="264" w:lineRule="auto"/>
      </w:pPr>
      <w:r>
        <w:rPr>
          <w:rFonts w:ascii="Georgia" w:hAnsi="Georgia" w:cs="Georgia"/>
          <w:b w:val="0"/>
          <w:i w:val="0"/>
          <w:color w:val="767D86"/>
          <w:sz w:val="18"/>
        </w:rPr>
        <w:t>Malik, Y. A. (2026). Qualifying study feasibility record: eligibility prevalence and screening outcomes. Author's own research record, same repository.</w:t>
      </w:r>
    </w:p>
    <w:p>
      <w:pPr>
        <w:spacing w:before="280" w:after="60"/>
        <w:pBdr>
          <w:bottom w:val="single" w:sz="6" w:space="4" w:color="D8D4CB"/>
        </w:pBdr>
      </w:pPr>
      <w:r>
        <w:rPr>
          <w:rFonts w:ascii="Consolas" w:hAnsi="Consolas" w:cs="Consolas"/>
          <w:b/>
          <w:i w:val="0"/>
          <w:caps/>
          <w:color w:val="767D86"/>
          <w:sz w:val="16"/>
          <w:spacing w:val="22"/>
        </w:rPr>
        <w:t>Statement on AI use</w:t>
      </w:r>
    </w:p>
    <w:p>
      <w:pPr>
        <w:spacing w:after="100" w:line="264" w:lineRule="auto"/>
      </w:pPr>
      <w:r>
        <w:rPr>
          <w:rFonts w:ascii="Georgia" w:hAnsi="Georgia" w:cs="Georgia"/>
          <w:b w:val="0"/>
          <w:i w:val="0"/>
          <w:color w:val="767D86"/>
          <w:sz w:val="18"/>
        </w:rPr>
        <w:t>Prepared in accordance with the course policy on artificial intelligence. The research, the data, the argument and the conclusions in this memo are my own and originate in my own dissertation record. An AI assistant was used for organisation, drafting support and clarity of expression on the basis of my notes and instructions. No sources, figures or findings were generated by the tool; every number cited here is drawn from my own research files.</w:t>
      </w:r>
    </w:p>
    <w:p>
      <w:pPr>
        <w:spacing w:after="100" w:line="264" w:lineRule="auto"/>
      </w:pPr>
      <w:r>
        <w:rPr>
          <w:rFonts w:ascii="Georgia" w:hAnsi="Georgia" w:cs="Georgia"/>
          <w:b/>
          <w:i w:val="0"/>
          <w:caps/>
          <w:color w:val="1F4E79"/>
          <w:sz w:val="18"/>
          <w:highlight w:val="yellow"/>
        </w:rPr>
        <w:t>[REVIEW THIS PARAGRAPH AND ADJUST IT TO MATCH WHAT YOU ACTUALLY DID, THEN REMOVE THIS BRACKETED LINE]</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76" w:lineRule="auto"/>
    </w:pPr>
    <w:rPr>
      <w:rFonts w:ascii="Georgia" w:hAnsi="Georgia"/>
      <w:color w:val="14171C"/>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