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cs="Georgia"/>
          <w:b/>
          <w:i w:val="0"/>
          <w:color w:val="1F4E79"/>
          <w:sz w:val="30"/>
        </w:rPr>
        <w:t xml:space="preserve">Audit </w:t>
      </w:r>
      <w:r>
        <w:rPr>
          <w:rFonts w:ascii="Georgia" w:hAnsi="Georgia" w:cs="Georgia"/>
          <w:b w:val="0"/>
          <w:i/>
          <w:color w:val="767D86"/>
          <w:sz w:val="24"/>
        </w:rPr>
        <w:t xml:space="preserve">the </w:t>
      </w:r>
      <w:r>
        <w:rPr>
          <w:rFonts w:ascii="Georgia" w:hAnsi="Georgia" w:cs="Georgia"/>
          <w:b/>
          <w:i w:val="0"/>
          <w:color w:val="1F4E79"/>
          <w:sz w:val="30"/>
        </w:rPr>
        <w:t>Algorithm</w:t>
      </w:r>
    </w:p>
    <w:p>
      <w:pPr>
        <w:spacing w:after="180"/>
        <w:pBdr>
          <w:bottom w:val="single" w:sz="12" w:space="4" w:color="1F4E79"/>
        </w:pBdr>
      </w:pPr>
      <w:r>
        <w:rPr>
          <w:rFonts w:ascii="Consolas" w:hAnsi="Consolas" w:cs="Consolas"/>
          <w:b w:val="0"/>
          <w:i w:val="0"/>
          <w:color w:val="767D86"/>
          <w:sz w:val="15"/>
          <w:spacing w:val="18"/>
        </w:rPr>
        <w:t>github.com/AuditingAI/Profile   ·   auditingai.github.io</w:t>
      </w:r>
    </w:p>
    <w:p>
      <w:pPr>
        <w:spacing w:before="200" w:after="40"/>
      </w:pPr>
      <w:r>
        <w:rPr>
          <w:rFonts w:ascii="Georgia" w:hAnsi="Georgia" w:cs="Georgia"/>
          <w:b/>
          <w:i w:val="0"/>
          <w:color w:val="14171C"/>
          <w:sz w:val="30"/>
        </w:rPr>
        <w:t>Initial Project Idea</w:t>
      </w:r>
    </w:p>
    <w:p>
      <w:pPr>
        <w:spacing w:after="320"/>
      </w:pPr>
      <w:r>
        <w:rPr>
          <w:rFonts w:ascii="Consolas" w:hAnsi="Consolas" w:cs="Consolas"/>
          <w:b w:val="0"/>
          <w:i w:val="0"/>
          <w:caps/>
          <w:color w:val="767D86"/>
          <w:sz w:val="16"/>
          <w:spacing w:val="22"/>
        </w:rPr>
        <w:t>GEB 7365 International Business · Prof. William Newburry · Yasir A. Malik · DBA Cohort 8.14</w:t>
      </w:r>
    </w:p>
    <w:p>
      <w:pPr>
        <w:spacing w:after="180" w:line="276" w:lineRule="auto"/>
        <w:jc w:val="both"/>
      </w:pPr>
      <w:r>
        <w:rPr>
          <w:rFonts w:ascii="Georgia" w:hAnsi="Georgia" w:cs="Georgia"/>
          <w:b/>
          <w:i w:val="0"/>
          <w:color w:val="14171C"/>
          <w:sz w:val="23"/>
        </w:rPr>
        <w:t>Format of the project: individual.</w:t>
      </w:r>
      <w:r>
        <w:rPr>
          <w:rFonts w:ascii="Georgia" w:hAnsi="Georgia" w:cs="Georgia"/>
          <w:b w:val="0"/>
          <w:i w:val="0"/>
          <w:color w:val="14171C"/>
          <w:sz w:val="23"/>
        </w:rPr>
        <w:t xml:space="preserve"> Per your email of 19 August, I am confirming in writing that I will complete the research project on my own rather than in a group. This was also confirmed verbally in the 27 August session.</w:t>
      </w:r>
    </w:p>
    <w:p>
      <w:pPr>
        <w:spacing w:before="320" w:after="80"/>
      </w:pPr>
      <w:r>
        <w:rPr>
          <w:rFonts w:ascii="Georgia" w:hAnsi="Georgia" w:cs="Georgia"/>
          <w:b/>
          <w:i w:val="0"/>
          <w:color w:val="1F4E79"/>
          <w:sz w:val="24"/>
        </w:rPr>
        <w:t>The topic area</w:t>
      </w:r>
    </w:p>
    <w:p>
      <w:pPr>
        <w:spacing w:after="180" w:line="276" w:lineRule="auto"/>
        <w:jc w:val="both"/>
      </w:pPr>
      <w:r>
        <w:rPr>
          <w:rFonts w:ascii="Georgia" w:hAnsi="Georgia" w:cs="Georgia"/>
          <w:b w:val="0"/>
          <w:i w:val="0"/>
          <w:color w:val="14171C"/>
          <w:sz w:val="23"/>
        </w:rPr>
        <w:t xml:space="preserve">The methodological constraint that </w:t>
      </w:r>
      <w:r>
        <w:rPr>
          <w:rFonts w:ascii="Georgia" w:hAnsi="Georgia" w:cs="Georgia"/>
          <w:b/>
          <w:i w:val="0"/>
          <w:color w:val="14171C"/>
          <w:sz w:val="23"/>
        </w:rPr>
        <w:t>narrow specialist professional populations</w:t>
      </w:r>
      <w:r>
        <w:rPr>
          <w:rFonts w:ascii="Georgia" w:hAnsi="Georgia" w:cs="Georgia"/>
          <w:b w:val="0"/>
          <w:i w:val="0"/>
          <w:color w:val="14171C"/>
          <w:sz w:val="23"/>
        </w:rPr>
        <w:t xml:space="preserve"> place on cross-national international business research — specifically, the conditions under which a comparative multi-country design targeting such a population is feasible at all.</w:t>
      </w:r>
    </w:p>
    <w:p>
      <w:pPr>
        <w:spacing w:before="320" w:after="80"/>
      </w:pPr>
      <w:r>
        <w:rPr>
          <w:rFonts w:ascii="Georgia" w:hAnsi="Georgia" w:cs="Georgia"/>
          <w:b/>
          <w:i w:val="0"/>
          <w:color w:val="1F4E79"/>
          <w:sz w:val="24"/>
        </w:rPr>
        <w:t>Why this interests me — the background is first-hand</w:t>
      </w:r>
    </w:p>
    <w:p>
      <w:pPr>
        <w:spacing w:after="180" w:line="276" w:lineRule="auto"/>
        <w:jc w:val="both"/>
      </w:pPr>
      <w:r>
        <w:rPr>
          <w:rFonts w:ascii="Georgia" w:hAnsi="Georgia" w:cs="Georgia"/>
          <w:b w:val="0"/>
          <w:i w:val="0"/>
          <w:color w:val="14171C"/>
          <w:sz w:val="23"/>
        </w:rPr>
        <w:t>My dissertation study required a sample of experienced auditors. Applying the eligibility criteria to a commercial research panel of 334,976 members returned approximately twenty eligible participants: a prevalence of roughly six per hundred thousand. Of twenty-three raw responses collected, four survived screening.</w:t>
      </w:r>
    </w:p>
    <w:p>
      <w:pPr>
        <w:spacing w:after="180" w:line="276" w:lineRule="auto"/>
        <w:jc w:val="both"/>
      </w:pPr>
      <w:r>
        <w:rPr>
          <w:rFonts w:ascii="Georgia" w:hAnsi="Georgia" w:cs="Georgia"/>
          <w:b w:val="0"/>
          <w:i w:val="0"/>
          <w:color w:val="14171C"/>
          <w:sz w:val="23"/>
        </w:rPr>
        <w:t>I did not go looking for a methodological topic. The constraint arrived as a result, and it was expensive to learn. What makes it an international business question rather than a personal setback is that the arithmetic does not stay put when a design crosses a border.</w:t>
      </w:r>
    </w:p>
    <w:p>
      <w:pPr>
        <w:spacing w:before="320" w:after="80"/>
      </w:pPr>
      <w:r>
        <w:rPr>
          <w:rFonts w:ascii="Georgia" w:hAnsi="Georgia" w:cs="Georgia"/>
          <w:b/>
          <w:i w:val="0"/>
          <w:color w:val="1F4E79"/>
          <w:sz w:val="24"/>
        </w:rPr>
        <w:t>The intended theoretical contribution</w:t>
      </w:r>
    </w:p>
    <w:p>
      <w:pPr>
        <w:spacing w:after="180" w:line="276" w:lineRule="auto"/>
        <w:jc w:val="both"/>
      </w:pPr>
      <w:r>
        <w:rPr>
          <w:rFonts w:ascii="Georgia" w:hAnsi="Georgia" w:cs="Georgia"/>
          <w:b w:val="0"/>
          <w:i w:val="0"/>
          <w:color w:val="14171C"/>
          <w:sz w:val="23"/>
        </w:rPr>
        <w:t xml:space="preserve">Comparative IB designs depend on reaching the </w:t>
      </w:r>
      <w:r>
        <w:rPr>
          <w:rFonts w:ascii="Georgia" w:hAnsi="Georgia" w:cs="Georgia"/>
          <w:b w:val="0"/>
          <w:i/>
          <w:color w:val="14171C"/>
          <w:sz w:val="23"/>
        </w:rPr>
        <w:t>same</w:t>
      </w:r>
      <w:r>
        <w:rPr>
          <w:rFonts w:ascii="Georgia" w:hAnsi="Georgia" w:cs="Georgia"/>
          <w:b w:val="0"/>
          <w:i w:val="0"/>
          <w:color w:val="14171C"/>
          <w:sz w:val="23"/>
        </w:rPr>
        <w:t xml:space="preserve"> narrow professional population in several national frames simultaneously. That constraint does not add across countries; it compounds. A design that is marginal in one national frame can be structurally impossible across four, and the point at which it becomes impossible is a function of prevalence, panel coverage, and eligibility strictness rather than of researcher effort or budget.</w:t>
      </w:r>
    </w:p>
    <w:p>
      <w:pPr>
        <w:spacing w:after="180" w:line="276" w:lineRule="auto"/>
        <w:jc w:val="both"/>
      </w:pPr>
      <w:r>
        <w:rPr>
          <w:rFonts w:ascii="Georgia" w:hAnsi="Georgia" w:cs="Georgia"/>
          <w:b w:val="0"/>
          <w:i w:val="0"/>
          <w:color w:val="14171C"/>
          <w:sz w:val="23"/>
        </w:rPr>
        <w:t>The contribution I am aiming at is a specification of those conditions — a statement of when a cross-national design targeting a specialist population is viable, when it is viable only with a different instrument, and when the honest answer is that it cannot be done as designed. I have not found the IB literature treating this explicitly. Sampling difficulty appears in method sections as an apology; I am proposing to treat it as a parameter.</w:t>
      </w:r>
    </w:p>
    <w:p>
      <w:pPr>
        <w:spacing w:after="180" w:line="276" w:lineRule="auto"/>
        <w:jc w:val="both"/>
      </w:pPr>
      <w:r>
        <w:rPr>
          <w:rFonts w:ascii="Georgia" w:hAnsi="Georgia" w:cs="Georgia"/>
          <w:b w:val="0"/>
          <w:i w:val="0"/>
          <w:color w:val="14171C"/>
          <w:sz w:val="23"/>
        </w:rPr>
        <w:t>A secondary consequence, which I think is the more interesting one: where the arithmetic rules out a survey, it does not rule out the study. The same twenty reachable people who cannot sustain a comparative survey can sustain a qualitative design. The threshold where one method fails and another becomes appropriate is locatable in advance, before any money is spent.</w:t>
      </w:r>
    </w:p>
    <w:p>
      <w:pPr>
        <w:spacing w:before="320" w:after="80"/>
      </w:pPr>
      <w:r>
        <w:rPr>
          <w:rFonts w:ascii="Georgia" w:hAnsi="Georgia" w:cs="Georgia"/>
          <w:b/>
          <w:i w:val="0"/>
          <w:color w:val="1F4E79"/>
          <w:sz w:val="24"/>
        </w:rPr>
        <w:t>How the data could be collected</w:t>
      </w:r>
    </w:p>
    <w:p>
      <w:pPr>
        <w:spacing w:after="180" w:line="276" w:lineRule="auto"/>
        <w:jc w:val="both"/>
      </w:pPr>
      <w:r>
        <w:rPr>
          <w:rFonts w:ascii="Georgia" w:hAnsi="Georgia" w:cs="Georgia"/>
          <w:b w:val="0"/>
          <w:i w:val="0"/>
          <w:color w:val="14171C"/>
          <w:sz w:val="23"/>
        </w:rPr>
        <w:t xml:space="preserve">Your third criterion is that data </w:t>
      </w:r>
      <w:r>
        <w:rPr>
          <w:rFonts w:ascii="Georgia" w:hAnsi="Georgia" w:cs="Georgia"/>
          <w:b w:val="0"/>
          <w:i/>
          <w:color w:val="14171C"/>
          <w:sz w:val="23"/>
        </w:rPr>
        <w:t>could potentially</w:t>
      </w:r>
      <w:r>
        <w:rPr>
          <w:rFonts w:ascii="Georgia" w:hAnsi="Georgia" w:cs="Georgia"/>
          <w:b w:val="0"/>
          <w:i w:val="0"/>
          <w:color w:val="14171C"/>
          <w:sz w:val="23"/>
        </w:rPr>
        <w:t xml:space="preserve"> be collected, not that it has been. This topic satisfies it in an unusually direct way. Prevalence figures for a target population are observable on a research panel's own audience-configuration screen before a study is fielded — the screening criteria return an estimated reachable count without commitment. The same is true of the major professional panels operating in other national markets.</w:t>
      </w:r>
    </w:p>
    <w:p>
      <w:pPr>
        <w:spacing w:after="180" w:line="276" w:lineRule="auto"/>
        <w:jc w:val="both"/>
      </w:pPr>
      <w:r>
        <w:rPr>
          <w:rFonts w:ascii="Georgia" w:hAnsi="Georgia" w:cs="Georgia"/>
          <w:b w:val="0"/>
          <w:i w:val="0"/>
          <w:color w:val="14171C"/>
          <w:sz w:val="23"/>
        </w:rPr>
        <w:t>That makes the empirical work a matter of access rather than instrumentation: the measurements exist and are quotable; the task is to gather them systematically across several countries and a set of specialist occupations, and to compare the resulting feasibility surfaces. My own study supplies one fully documented case, including the cost per usable response, which is available as a validating example.</w:t>
      </w:r>
    </w:p>
    <w:p>
      <w:pPr>
        <w:spacing w:before="320" w:after="80"/>
      </w:pPr>
      <w:r>
        <w:rPr>
          <w:rFonts w:ascii="Georgia" w:hAnsi="Georgia" w:cs="Georgia"/>
          <w:b/>
          <w:i w:val="0"/>
          <w:color w:val="1F4E79"/>
          <w:sz w:val="24"/>
        </w:rPr>
        <w:t>How it connects to the course</w:t>
      </w:r>
    </w:p>
    <w:p>
      <w:pPr>
        <w:spacing w:after="180" w:line="276" w:lineRule="auto"/>
        <w:jc w:val="both"/>
      </w:pPr>
      <w:r>
        <w:rPr>
          <w:rFonts w:ascii="Georgia" w:hAnsi="Georgia" w:cs="Georgia"/>
          <w:b w:val="0"/>
          <w:i w:val="0"/>
          <w:color w:val="14171C"/>
          <w:sz w:val="23"/>
        </w:rPr>
        <w:t>It sits on the same fault line as the Module 2 papers. Contractor, Kundu and Hsu reconcile a contradictory literature by showing the field was sampling different segments of one curve; Mezias makes progress on liability of foreignness only by abandoning aggregate performance measurement for a measure that isolates a single disadvantage. In both cases the obstacle was not the theory but what the field was able to measure and on whom. This project takes that problem — who can actually be reached, and what follows for the design — as the subject rather than as a limitation paragraph.</w:t>
      </w:r>
    </w:p>
    <w:p>
      <w:pPr>
        <w:spacing w:before="320" w:after="80"/>
      </w:pPr>
      <w:r>
        <w:rPr>
          <w:rFonts w:ascii="Georgia" w:hAnsi="Georgia" w:cs="Georgia"/>
          <w:b/>
          <w:i w:val="0"/>
          <w:color w:val="1F4E79"/>
          <w:sz w:val="24"/>
        </w:rPr>
        <w:t>What I would like from the Tuesday call</w:t>
      </w:r>
    </w:p>
    <w:p>
      <w:pPr>
        <w:spacing w:after="180" w:line="276" w:lineRule="auto"/>
        <w:jc w:val="both"/>
      </w:pPr>
      <w:r>
        <w:rPr>
          <w:rFonts w:ascii="Georgia" w:hAnsi="Georgia" w:cs="Georgia"/>
          <w:b w:val="0"/>
          <w:i w:val="0"/>
          <w:color w:val="14171C"/>
          <w:sz w:val="23"/>
        </w:rPr>
        <w:t>Two things. First, whether this is close enough to the core concerns of the seminar, or whether it reads as a methods paper wearing an IB jacket — I would rather hear that now than in October. Second, if it holds, where you would point me in the IB methodology literature, since my searching so far has turned up the problem being noted in passing and not treated.</w:t>
      </w:r>
    </w:p>
    <w:p>
      <w:pPr>
        <w:spacing w:after="180" w:line="276" w:lineRule="auto"/>
        <w:jc w:val="both"/>
      </w:pPr>
      <w:r>
        <w:rPr>
          <w:rFonts w:ascii="Georgia" w:hAnsi="Georgia" w:cs="Georgia"/>
          <w:b w:val="0"/>
          <w:i w:val="0"/>
          <w:color w:val="14171C"/>
          <w:sz w:val="23"/>
        </w:rPr>
        <w:t>I have a second angle in reserve, closer to the course's substantive topics, and would rather discuss it live than pre-commit to it here.</w:t>
      </w:r>
    </w:p>
    <w:p>
      <w:pPr>
        <w:spacing w:before="280" w:after="60"/>
        <w:pBdr>
          <w:bottom w:val="single" w:sz="6" w:space="4" w:color="D8D4CB"/>
        </w:pBdr>
      </w:pPr>
      <w:r>
        <w:rPr>
          <w:rFonts w:ascii="Consolas" w:hAnsi="Consolas" w:cs="Consolas"/>
          <w:b/>
          <w:i w:val="0"/>
          <w:caps/>
          <w:color w:val="767D86"/>
          <w:sz w:val="16"/>
          <w:spacing w:val="22"/>
        </w:rPr>
        <w:t>Disclosure of AI use</w:t>
      </w:r>
    </w:p>
    <w:p>
      <w:pPr>
        <w:spacing w:after="100" w:line="264" w:lineRule="auto"/>
      </w:pPr>
      <w:r>
        <w:rPr>
          <w:rFonts w:ascii="Georgia" w:hAnsi="Georgia" w:cs="Georgia"/>
          <w:b w:val="0"/>
          <w:i w:val="0"/>
          <w:color w:val="767D86"/>
          <w:sz w:val="18"/>
        </w:rPr>
        <w:t>Generative AI (Claude, Anthropic) was used to organise and edit this document. The topic, the argument and the figures reported are my own, and the figures come from my own study records. No confidential or identifiable data was provided to any AI system.</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Georgia" w:hAnsi="Georgia"/>
      <w:color w:val="14171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