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color w:val="000000"/>
          <w:sz w:val="32"/>
        </w:rPr>
        <w:t>Learning Memo 4 · Proposal Introduction</w:t>
      </w:r>
    </w:p>
    <w:p>
      <w:pPr>
        <w:spacing w:after="200"/>
      </w:pPr>
      <w:r>
        <w:rPr>
          <w:rFonts w:ascii="Times New Roman" w:hAnsi="Times New Roman" w:cs="Times New Roman" w:eastAsia="Times New Roman"/>
          <w:i/>
          <w:color w:val="000000"/>
          <w:sz w:val="26"/>
        </w:rPr>
        <w:t>Working Draft</w:t>
      </w:r>
    </w:p>
    <w:p>
      <w:pPr>
        <w:spacing w:after="20" w:line="240" w:lineRule="auto"/>
      </w:pPr>
      <w:r>
        <w:rPr>
          <w:rFonts w:ascii="Times New Roman" w:hAnsi="Times New Roman" w:cs="Times New Roman" w:eastAsia="Times New Roman"/>
          <w:color w:val="000000"/>
          <w:sz w:val="23"/>
        </w:rPr>
        <w:t>Yasir A. Malik</w:t>
      </w:r>
    </w:p>
    <w:p>
      <w:pPr>
        <w:spacing w:after="20" w:line="240" w:lineRule="auto"/>
      </w:pPr>
      <w:r>
        <w:rPr>
          <w:rFonts w:ascii="Times New Roman" w:hAnsi="Times New Roman" w:cs="Times New Roman" w:eastAsia="Times New Roman"/>
          <w:color w:val="000000"/>
          <w:sz w:val="23"/>
        </w:rPr>
        <w:t>Florida International University · College of Business</w:t>
      </w:r>
    </w:p>
    <w:p>
      <w:pPr>
        <w:spacing w:after="20" w:line="240" w:lineRule="auto"/>
      </w:pPr>
      <w:r>
        <w:rPr>
          <w:rFonts w:ascii="Times New Roman" w:hAnsi="Times New Roman" w:cs="Times New Roman" w:eastAsia="Times New Roman"/>
          <w:color w:val="000000"/>
          <w:sz w:val="23"/>
        </w:rPr>
        <w:t>Doctor of Business Administration · Cohort 8.14</w:t>
      </w:r>
    </w:p>
    <w:p>
      <w:pPr>
        <w:spacing w:after="20" w:line="240" w:lineRule="auto"/>
      </w:pPr>
      <w:r>
        <w:rPr>
          <w:rFonts w:ascii="Times New Roman" w:hAnsi="Times New Roman" w:cs="Times New Roman" w:eastAsia="Times New Roman"/>
          <w:color w:val="000000"/>
          <w:sz w:val="23"/>
        </w:rPr>
        <w:t>GEB 7911 · Qualitative Research Methods · Instructor: Dr. Cristina Gonzalez</w:t>
      </w:r>
    </w:p>
    <w:p>
      <w:pPr>
        <w:spacing w:after="20" w:line="240" w:lineRule="auto"/>
      </w:pPr>
      <w:r>
        <w:rPr>
          <w:rFonts w:ascii="Times New Roman" w:hAnsi="Times New Roman" w:cs="Times New Roman" w:eastAsia="Times New Roman"/>
          <w:color w:val="000000"/>
          <w:sz w:val="23"/>
        </w:rPr>
        <w:t>September 7, 2026</w:t>
      </w:r>
    </w:p>
    <w:p>
      <w:pPr>
        <w:spacing w:after="80"/>
      </w:pPr>
    </w:p>
    <w:p>
      <w:pPr>
        <w:pStyle w:val="Heading2"/>
      </w:pPr>
      <w:r>
        <w:rPr>
          <w:rFonts w:ascii="Times New Roman" w:hAnsi="Times New Roman" w:cs="Times New Roman" w:eastAsia="Times New Roman"/>
          <w:b/>
          <w:color w:val="000000"/>
          <w:sz w:val="26"/>
        </w:rPr>
        <w:t>1. Focus and Research Problem</w:t>
      </w:r>
    </w:p>
    <w:p>
      <w:pPr>
        <w:spacing w:line="480" w:lineRule="auto" w:after="160"/>
        <w:jc w:val="both"/>
      </w:pPr>
      <w:r>
        <w:rPr>
          <w:rFonts w:ascii="Times New Roman" w:hAnsi="Times New Roman" w:cs="Times New Roman" w:eastAsia="Times New Roman"/>
          <w:color w:val="000000"/>
          <w:sz w:val="24"/>
        </w:rPr>
        <w:t>An auditor reviewing a multi-year engagement has always had a starting point: last year's conclusion. What has changed is that AI systems now introduce new risks into that process, including sycophancy and epistemic drift. These risks don't show up as one-time errors. They show up as a pattern that repeats every time the system is used.</w:t>
      </w:r>
    </w:p>
    <w:p>
      <w:pPr>
        <w:spacing w:line="480" w:lineRule="auto" w:after="160"/>
        <w:jc w:val="both"/>
      </w:pPr>
      <w:r>
        <w:rPr>
          <w:rFonts w:ascii="Times New Roman" w:hAnsi="Times New Roman" w:cs="Times New Roman" w:eastAsia="Times New Roman"/>
          <w:color w:val="000000"/>
          <w:sz w:val="24"/>
        </w:rPr>
        <w:t>Professional standards assume a competent human reviewer sits above the AI system. Nobody has actually measured whether that reviewer's judgment survives contact with it. That matters because the auditors relying on those standards are the last check before a misjudgment reaches a client, a regulator, or a public filing.</w:t>
      </w:r>
    </w:p>
    <w:p>
      <w:pPr>
        <w:spacing w:line="480" w:lineRule="auto" w:after="160"/>
        <w:jc w:val="both"/>
      </w:pPr>
      <w:r>
        <w:rPr>
          <w:rFonts w:ascii="Times New Roman" w:hAnsi="Times New Roman" w:cs="Times New Roman" w:eastAsia="Times New Roman"/>
          <w:color w:val="000000"/>
          <w:sz w:val="24"/>
        </w:rPr>
        <w:t xml:space="preserve">The empirical literature on AI and auditor judgment is thin, and what exists asks the wrong kind of question. Most work asks </w:t>
      </w:r>
      <w:r>
        <w:rPr>
          <w:rFonts w:ascii="Times New Roman" w:hAnsi="Times New Roman" w:cs="Times New Roman" w:eastAsia="Times New Roman"/>
          <w:b w:val="0"/>
          <w:i/>
          <w:color w:val="000000"/>
          <w:sz w:val="24"/>
        </w:rPr>
        <w:t>how much</w:t>
      </w:r>
      <w:r>
        <w:rPr>
          <w:rFonts w:ascii="Times New Roman" w:hAnsi="Times New Roman" w:cs="Times New Roman" w:eastAsia="Times New Roman"/>
          <w:color w:val="000000"/>
          <w:sz w:val="24"/>
        </w:rPr>
        <w:t xml:space="preserve"> auditors rely on AI-generated output. That is a magnitude question, and a survey can answer it. It does not ask </w:t>
      </w:r>
      <w:r>
        <w:rPr>
          <w:rFonts w:ascii="Times New Roman" w:hAnsi="Times New Roman" w:cs="Times New Roman" w:eastAsia="Times New Roman"/>
          <w:b w:val="0"/>
          <w:i/>
          <w:color w:val="000000"/>
          <w:sz w:val="24"/>
        </w:rPr>
        <w:t>how</w:t>
      </w:r>
      <w:r>
        <w:rPr>
          <w:rFonts w:ascii="Times New Roman" w:hAnsi="Times New Roman" w:cs="Times New Roman" w:eastAsia="Times New Roman"/>
          <w:color w:val="000000"/>
          <w:sz w:val="24"/>
        </w:rPr>
        <w:t xml:space="preserve"> auditors experience receiving that output, or how they make sense of it in the moment. That is a process question, and a survey cannot answer it. My own prior study tried to measure this by self-report and ran into the same limit every self-report measure of this kind runs into: it asks a person to notice the one thing the bias in question prevents them from noticing. The anchoring-and-adjustment literature originating with Tversky and Kahneman (1974) establishes that judgments formed from a starting point adjust insufficiently away from it, and that the effect persists even when participants are motivated toward accuracy. What that literature has not examined is what happens when the starting point is produced by a machine that also agrees with the conclusion the professional had already reached.</w:t>
      </w:r>
    </w:p>
    <w:p>
      <w:pPr>
        <w:spacing w:line="480" w:lineRule="auto" w:after="160"/>
        <w:jc w:val="both"/>
      </w:pPr>
      <w:r>
        <w:rPr>
          <w:rFonts w:ascii="Times New Roman" w:hAnsi="Times New Roman" w:cs="Times New Roman" w:eastAsia="Times New Roman"/>
          <w:color w:val="000000"/>
          <w:sz w:val="24"/>
        </w:rPr>
        <w:t>This matters to two audiences. For research, it separates two things the literature currently conflates: automation bias, which is a human tendency, and sycophancy, which is a property of the system. Asking how much someone relied on a machine cannot tell those two apart. For practice, audit firms and regulators are writing AI-use policies right now on the assumption that human review is a working control. Nobody has asked the people doing that reviewing what the experience of it actually is.</w:t>
      </w:r>
    </w:p>
    <w:p>
      <w:pPr>
        <w:pStyle w:val="Heading2"/>
      </w:pPr>
      <w:r>
        <w:rPr>
          <w:rFonts w:ascii="Times New Roman" w:hAnsi="Times New Roman" w:cs="Times New Roman" w:eastAsia="Times New Roman"/>
          <w:b/>
          <w:color w:val="000000"/>
          <w:sz w:val="26"/>
        </w:rPr>
        <w:t>2. Purpose Statement</w:t>
      </w:r>
    </w:p>
    <w:p>
      <w:pPr>
        <w:spacing w:line="480" w:lineRule="auto" w:after="160"/>
        <w:jc w:val="both"/>
      </w:pPr>
      <w:r>
        <w:rPr>
          <w:rFonts w:ascii="Times New Roman" w:hAnsi="Times New Roman" w:cs="Times New Roman" w:eastAsia="Times New Roman"/>
          <w:color w:val="000000"/>
          <w:sz w:val="24"/>
        </w:rPr>
        <w:t>The purpose of this phenomenological study is to understand the experience of receiving an AI-generated conclusion that confirms a judgment already formed, for experienced internal auditors, at organizations where AI-supported analytical tools are used in live engagement work. At this stage in the research, receiving AI-generated confirmation will be generally defined as the moment an AI system produces an analytical output matching a conclusion the auditor had already reached independently.</w:t>
      </w:r>
    </w:p>
    <w:p>
      <w:pPr>
        <w:spacing w:line="480" w:lineRule="auto" w:after="160"/>
        <w:jc w:val="both"/>
      </w:pPr>
      <w:r>
        <w:rPr>
          <w:rFonts w:ascii="Times New Roman" w:hAnsi="Times New Roman" w:cs="Times New Roman" w:eastAsia="Times New Roman"/>
          <w:color w:val="000000"/>
          <w:sz w:val="24"/>
        </w:rPr>
        <w:t>Participants will be experienced internal auditors with eight or more years of practice, recurring multi-year engagement responsibility, and meaningful, direct exposure to AI-generated analytical output in the course of that work. Consistent with a phenomenological design, the site is defined by the shared professional context in which the phenomenon occurs rather than by a single named organization.</w:t>
      </w:r>
    </w:p>
    <w:p>
      <w:pPr>
        <w:pStyle w:val="Heading2"/>
      </w:pPr>
      <w:r>
        <w:rPr>
          <w:rFonts w:ascii="Times New Roman" w:hAnsi="Times New Roman" w:cs="Times New Roman" w:eastAsia="Times New Roman"/>
          <w:b/>
          <w:color w:val="000000"/>
          <w:sz w:val="26"/>
        </w:rPr>
        <w:t>3. Research Question</w:t>
      </w:r>
    </w:p>
    <w:p>
      <w:pPr>
        <w:spacing w:line="480" w:lineRule="auto" w:after="160"/>
        <w:jc w:val="both"/>
      </w:pPr>
      <w:r>
        <w:rPr>
          <w:rFonts w:ascii="Times New Roman" w:hAnsi="Times New Roman" w:cs="Times New Roman" w:eastAsia="Times New Roman"/>
          <w:b/>
          <w:i w:val="0"/>
          <w:color w:val="000000"/>
          <w:sz w:val="24"/>
        </w:rPr>
        <w:t>How do experienced auditors experience and make sense of receiving an AI-generated conclusion that confirms a judgment they had already formed?</w:t>
      </w:r>
    </w:p>
    <w:p>
      <w:pPr>
        <w:pStyle w:val="Heading2"/>
      </w:pPr>
      <w:r>
        <w:rPr>
          <w:rFonts w:ascii="Times New Roman" w:hAnsi="Times New Roman" w:cs="Times New Roman" w:eastAsia="Times New Roman"/>
          <w:b/>
          <w:color w:val="000000"/>
          <w:sz w:val="26"/>
        </w:rPr>
        <w:t>4. Interpretive Framework and Assumptions</w:t>
      </w:r>
    </w:p>
    <w:p>
      <w:pPr>
        <w:spacing w:line="480" w:lineRule="auto" w:after="160"/>
        <w:jc w:val="both"/>
      </w:pPr>
      <w:r>
        <w:rPr>
          <w:rFonts w:ascii="Times New Roman" w:hAnsi="Times New Roman" w:cs="Times New Roman" w:eastAsia="Times New Roman"/>
          <w:color w:val="000000"/>
          <w:sz w:val="24"/>
        </w:rPr>
        <w:t>This study is approached from a social constructivist, inductive interpretive framework.</w:t>
      </w:r>
    </w:p>
    <w:p>
      <w:pPr>
        <w:spacing w:line="480" w:lineRule="auto" w:after="160"/>
        <w:jc w:val="both"/>
      </w:pPr>
      <w:r>
        <w:rPr>
          <w:rFonts w:ascii="Times New Roman" w:hAnsi="Times New Roman" w:cs="Times New Roman" w:eastAsia="Times New Roman"/>
          <w:b/>
          <w:i w:val="0"/>
          <w:color w:val="000000"/>
          <w:sz w:val="24"/>
        </w:rPr>
        <w:t>Ontological assumptions.</w:t>
      </w:r>
      <w:r>
        <w:rPr>
          <w:rFonts w:ascii="Times New Roman" w:hAnsi="Times New Roman" w:cs="Times New Roman" w:eastAsia="Times New Roman"/>
          <w:color w:val="000000"/>
          <w:sz w:val="24"/>
        </w:rPr>
        <w:t xml:space="preserve"> Multiple realities exist. There is no single correct account of what it is like to receive machine-generated confirmation waiting to be recovered. There are as many accounts as there are auditors who have experienced it, and the variation among them is part of the finding rather than error to be averaged away.</w:t>
      </w:r>
    </w:p>
    <w:p>
      <w:pPr>
        <w:spacing w:line="480" w:lineRule="auto" w:after="160"/>
        <w:jc w:val="both"/>
      </w:pPr>
      <w:r>
        <w:rPr>
          <w:rFonts w:ascii="Times New Roman" w:hAnsi="Times New Roman" w:cs="Times New Roman" w:eastAsia="Times New Roman"/>
          <w:b/>
          <w:i w:val="0"/>
          <w:color w:val="000000"/>
          <w:sz w:val="24"/>
        </w:rPr>
        <w:t>Epistemological assumptions.</w:t>
      </w:r>
      <w:r>
        <w:rPr>
          <w:rFonts w:ascii="Times New Roman" w:hAnsi="Times New Roman" w:cs="Times New Roman" w:eastAsia="Times New Roman"/>
          <w:color w:val="000000"/>
          <w:sz w:val="24"/>
        </w:rPr>
        <w:t xml:space="preserve"> Evidence consists of participants' own first-person descriptions of the experience, gathered through semi-structured, audio-recorded interviews. Closeness to participants is treated as a condition of knowing rather than a threat to it. The account is the data, not a proxy for something more objective sitting behind it.</w:t>
      </w:r>
    </w:p>
    <w:p>
      <w:pPr>
        <w:spacing w:line="480" w:lineRule="auto" w:after="160"/>
        <w:jc w:val="both"/>
      </w:pPr>
      <w:r>
        <w:rPr>
          <w:rFonts w:ascii="Times New Roman" w:hAnsi="Times New Roman" w:cs="Times New Roman" w:eastAsia="Times New Roman"/>
          <w:b/>
          <w:i w:val="0"/>
          <w:color w:val="000000"/>
          <w:sz w:val="24"/>
        </w:rPr>
        <w:t>Axiological assumptions.</w:t>
      </w:r>
      <w:r>
        <w:rPr>
          <w:rFonts w:ascii="Times New Roman" w:hAnsi="Times New Roman" w:cs="Times New Roman" w:eastAsia="Times New Roman"/>
          <w:color w:val="000000"/>
          <w:sz w:val="24"/>
        </w:rPr>
        <w:t xml:space="preserve"> My own values are present in this study and are stated rather than bracketed away.</w:t>
      </w:r>
    </w:p>
    <w:p>
      <w:pPr>
        <w:spacing w:line="480" w:lineRule="auto" w:after="160"/>
        <w:jc w:val="both"/>
      </w:pPr>
      <w:r>
        <w:rPr>
          <w:rFonts w:ascii="Times New Roman" w:hAnsi="Times New Roman" w:cs="Times New Roman" w:eastAsia="Times New Roman"/>
          <w:color w:val="000000"/>
          <w:sz w:val="24"/>
        </w:rPr>
        <w:t>I am not an outsider to this setting. Fifteen years in audit and risk at Citigroup and JPMorgan Chase, and prior experience as a bank examiner for the Florida Office of Financial Regulation, give me direct familiarity with the vocabulary, pressures, and judgment calls this study asks participants to describe. That same background is also a risk: I already believe the phenomenon under study is real, which makes me more likely to hear confirmation in what a participant says than a genuinely neutral listener would. To guard against that, every occasion on which I notice myself feeling confirmed by a participant's account is logged in a confirmation hazard log kept for the duration of the study.</w:t>
      </w:r>
    </w:p>
    <w:p>
      <w:pPr>
        <w:spacing w:line="480" w:lineRule="auto" w:after="160"/>
        <w:jc w:val="both"/>
      </w:pPr>
      <w:r>
        <w:rPr>
          <w:rFonts w:ascii="Times New Roman" w:hAnsi="Times New Roman" w:cs="Times New Roman" w:eastAsia="Times New Roman"/>
          <w:b/>
          <w:i w:val="0"/>
          <w:color w:val="000000"/>
          <w:sz w:val="24"/>
        </w:rPr>
        <w:t>Methodological assumptions.</w:t>
      </w:r>
      <w:r>
        <w:rPr>
          <w:rFonts w:ascii="Times New Roman" w:hAnsi="Times New Roman" w:cs="Times New Roman" w:eastAsia="Times New Roman"/>
          <w:color w:val="000000"/>
          <w:sz w:val="24"/>
        </w:rPr>
        <w:t xml:space="preserve"> Of the five qualitative approaches, this study uses phenomenology. The research question asks what an experience is like and how it is made sense of, which is the question phenomenology is built to answer. A grounded theory design would commit the study to generating theory it is not yet positioned to generate, and a case study design would require a bounded site this study does not have.</w:t>
      </w:r>
    </w:p>
    <w:p>
      <w:pPr>
        <w:pStyle w:val="Heading2"/>
      </w:pPr>
      <w:r>
        <w:rPr>
          <w:rFonts w:ascii="Times New Roman" w:hAnsi="Times New Roman" w:cs="Times New Roman" w:eastAsia="Times New Roman"/>
          <w:b/>
          <w:color w:val="000000"/>
          <w:sz w:val="26"/>
        </w:rPr>
        <w:t>5. Key Terminology</w:t>
      </w:r>
    </w:p>
    <w:tbl>
      <w:tblPr>
        <w:tblStyle w:val="TableGrid"/>
        <w:tblW w:type="auto" w:w="0"/>
        <w:tblLook w:firstColumn="1" w:firstRow="1" w:lastColumn="0" w:lastRow="0" w:noHBand="0" w:noVBand="1" w:val="04A0"/>
      </w:tblPr>
      <w:tblGrid>
        <w:gridCol w:w="4680"/>
        <w:gridCol w:w="4680"/>
      </w:tblGrid>
      <w:tr>
        <w:tc>
          <w:tcPr>
            <w:tcW w:type="dxa" w:w="4680"/>
          </w:tcPr>
          <w:p>
            <w:pPr>
              <w:spacing w:after="40" w:line="240" w:lineRule="auto"/>
            </w:pPr>
            <w:r>
              <w:rPr>
                <w:rFonts w:ascii="Times New Roman" w:hAnsi="Times New Roman" w:cs="Times New Roman" w:eastAsia="Times New Roman"/>
                <w:b/>
                <w:color w:val="000000"/>
                <w:sz w:val="21"/>
              </w:rPr>
              <w:t>Term</w:t>
            </w:r>
          </w:p>
        </w:tc>
        <w:tc>
          <w:tcPr>
            <w:tcW w:type="dxa" w:w="4680"/>
          </w:tcPr>
          <w:p>
            <w:pPr>
              <w:spacing w:after="40" w:line="240" w:lineRule="auto"/>
            </w:pPr>
            <w:r>
              <w:rPr>
                <w:rFonts w:ascii="Times New Roman" w:hAnsi="Times New Roman" w:cs="Times New Roman" w:eastAsia="Times New Roman"/>
                <w:b/>
                <w:color w:val="000000"/>
                <w:sz w:val="21"/>
              </w:rPr>
              <w:t>Definition</w:t>
            </w:r>
          </w:p>
        </w:tc>
      </w:tr>
      <w:tr>
        <w:tc>
          <w:tcPr>
            <w:tcW w:type="dxa" w:w="4680"/>
          </w:tcPr>
          <w:p>
            <w:pPr>
              <w:spacing w:after="40" w:line="240" w:lineRule="auto"/>
            </w:pPr>
            <w:r>
              <w:rPr>
                <w:rFonts w:ascii="Times New Roman" w:hAnsi="Times New Roman" w:cs="Times New Roman" w:eastAsia="Times New Roman"/>
                <w:b w:val="0"/>
                <w:color w:val="000000"/>
                <w:sz w:val="21"/>
              </w:rPr>
              <w:t>Anchoring</w:t>
            </w:r>
          </w:p>
        </w:tc>
        <w:tc>
          <w:tcPr>
            <w:tcW w:type="dxa" w:w="4680"/>
          </w:tcPr>
          <w:p>
            <w:pPr>
              <w:spacing w:after="40" w:line="240" w:lineRule="auto"/>
            </w:pPr>
            <w:r>
              <w:rPr>
                <w:rFonts w:ascii="Times New Roman" w:hAnsi="Times New Roman" w:cs="Times New Roman" w:eastAsia="Times New Roman"/>
                <w:b w:val="0"/>
                <w:color w:val="000000"/>
                <w:sz w:val="21"/>
              </w:rPr>
              <w:t>The tendency to rely too heavily on an initial reference point when forming a judgment, and to adjust insufficiently away from it.</w:t>
            </w:r>
          </w:p>
        </w:tc>
      </w:tr>
      <w:tr>
        <w:tc>
          <w:tcPr>
            <w:tcW w:type="dxa" w:w="4680"/>
          </w:tcPr>
          <w:p>
            <w:pPr>
              <w:spacing w:after="40" w:line="240" w:lineRule="auto"/>
            </w:pPr>
            <w:r>
              <w:rPr>
                <w:rFonts w:ascii="Times New Roman" w:hAnsi="Times New Roman" w:cs="Times New Roman" w:eastAsia="Times New Roman"/>
                <w:b w:val="0"/>
                <w:color w:val="000000"/>
                <w:sz w:val="21"/>
              </w:rPr>
              <w:t>Automation bias</w:t>
            </w:r>
          </w:p>
        </w:tc>
        <w:tc>
          <w:tcPr>
            <w:tcW w:type="dxa" w:w="4680"/>
          </w:tcPr>
          <w:p>
            <w:pPr>
              <w:spacing w:after="40" w:line="240" w:lineRule="auto"/>
            </w:pPr>
            <w:r>
              <w:rPr>
                <w:rFonts w:ascii="Times New Roman" w:hAnsi="Times New Roman" w:cs="Times New Roman" w:eastAsia="Times New Roman"/>
                <w:b w:val="0"/>
                <w:color w:val="000000"/>
                <w:sz w:val="21"/>
              </w:rPr>
              <w:t>The tendency to over-trust or defer to output from an automated system, even when independent evidence should prompt further scrutiny.</w:t>
            </w:r>
          </w:p>
        </w:tc>
      </w:tr>
      <w:tr>
        <w:tc>
          <w:tcPr>
            <w:tcW w:type="dxa" w:w="4680"/>
          </w:tcPr>
          <w:p>
            <w:pPr>
              <w:spacing w:after="40" w:line="240" w:lineRule="auto"/>
            </w:pPr>
            <w:r>
              <w:rPr>
                <w:rFonts w:ascii="Times New Roman" w:hAnsi="Times New Roman" w:cs="Times New Roman" w:eastAsia="Times New Roman"/>
                <w:b w:val="0"/>
                <w:color w:val="000000"/>
                <w:sz w:val="21"/>
              </w:rPr>
              <w:t>Sycophancy</w:t>
            </w:r>
          </w:p>
        </w:tc>
        <w:tc>
          <w:tcPr>
            <w:tcW w:type="dxa" w:w="4680"/>
          </w:tcPr>
          <w:p>
            <w:pPr>
              <w:spacing w:after="40" w:line="240" w:lineRule="auto"/>
            </w:pPr>
            <w:r>
              <w:rPr>
                <w:rFonts w:ascii="Times New Roman" w:hAnsi="Times New Roman" w:cs="Times New Roman" w:eastAsia="Times New Roman"/>
                <w:b w:val="0"/>
                <w:color w:val="000000"/>
                <w:sz w:val="21"/>
              </w:rPr>
              <w:t>A tendency in AI systems to agree with or affirm a user's stated position rather than challenge it. This is a property of the model, not a human bias.</w:t>
            </w:r>
          </w:p>
        </w:tc>
      </w:tr>
      <w:tr>
        <w:tc>
          <w:tcPr>
            <w:tcW w:type="dxa" w:w="4680"/>
          </w:tcPr>
          <w:p>
            <w:pPr>
              <w:spacing w:after="40" w:line="240" w:lineRule="auto"/>
            </w:pPr>
            <w:r>
              <w:rPr>
                <w:rFonts w:ascii="Times New Roman" w:hAnsi="Times New Roman" w:cs="Times New Roman" w:eastAsia="Times New Roman"/>
                <w:b w:val="0"/>
                <w:color w:val="000000"/>
                <w:sz w:val="21"/>
              </w:rPr>
              <w:t>Professional judgment</w:t>
            </w:r>
          </w:p>
        </w:tc>
        <w:tc>
          <w:tcPr>
            <w:tcW w:type="dxa" w:w="4680"/>
          </w:tcPr>
          <w:p>
            <w:pPr>
              <w:spacing w:after="40" w:line="240" w:lineRule="auto"/>
            </w:pPr>
            <w:r>
              <w:rPr>
                <w:rFonts w:ascii="Times New Roman" w:hAnsi="Times New Roman" w:cs="Times New Roman" w:eastAsia="Times New Roman"/>
                <w:b w:val="0"/>
                <w:color w:val="000000"/>
                <w:sz w:val="21"/>
              </w:rPr>
              <w:t>The application of relevant training, knowledge, and experience to reach a well-reasoned conclusion under conditions of uncertainty.</w:t>
            </w:r>
          </w:p>
        </w:tc>
      </w:tr>
      <w:tr>
        <w:tc>
          <w:tcPr>
            <w:tcW w:type="dxa" w:w="4680"/>
          </w:tcPr>
          <w:p>
            <w:pPr>
              <w:spacing w:after="40" w:line="240" w:lineRule="auto"/>
            </w:pPr>
            <w:r>
              <w:rPr>
                <w:rFonts w:ascii="Times New Roman" w:hAnsi="Times New Roman" w:cs="Times New Roman" w:eastAsia="Times New Roman"/>
                <w:b w:val="0"/>
                <w:color w:val="000000"/>
                <w:sz w:val="21"/>
              </w:rPr>
              <w:t>Recurring engagement</w:t>
            </w:r>
          </w:p>
        </w:tc>
        <w:tc>
          <w:tcPr>
            <w:tcW w:type="dxa" w:w="4680"/>
          </w:tcPr>
          <w:p>
            <w:pPr>
              <w:spacing w:after="40" w:line="240" w:lineRule="auto"/>
            </w:pPr>
            <w:r>
              <w:rPr>
                <w:rFonts w:ascii="Times New Roman" w:hAnsi="Times New Roman" w:cs="Times New Roman" w:eastAsia="Times New Roman"/>
                <w:b w:val="0"/>
                <w:color w:val="000000"/>
                <w:sz w:val="21"/>
              </w:rPr>
              <w:t>An audit relationship that continues across multiple annual periods with the same client, in which prior-period conclusions remain available as reference points.</w:t>
            </w:r>
          </w:p>
        </w:tc>
      </w:tr>
      <w:tr>
        <w:tc>
          <w:tcPr>
            <w:tcW w:type="dxa" w:w="4680"/>
          </w:tcPr>
          <w:p>
            <w:pPr>
              <w:spacing w:after="40" w:line="240" w:lineRule="auto"/>
            </w:pPr>
            <w:r>
              <w:rPr>
                <w:rFonts w:ascii="Times New Roman" w:hAnsi="Times New Roman" w:cs="Times New Roman" w:eastAsia="Times New Roman"/>
                <w:b w:val="0"/>
                <w:color w:val="000000"/>
                <w:sz w:val="21"/>
              </w:rPr>
              <w:t>AI-generated conclusion</w:t>
            </w:r>
          </w:p>
        </w:tc>
        <w:tc>
          <w:tcPr>
            <w:tcW w:type="dxa" w:w="4680"/>
          </w:tcPr>
          <w:p>
            <w:pPr>
              <w:spacing w:after="40" w:line="240" w:lineRule="auto"/>
            </w:pPr>
            <w:r>
              <w:rPr>
                <w:rFonts w:ascii="Times New Roman" w:hAnsi="Times New Roman" w:cs="Times New Roman" w:eastAsia="Times New Roman"/>
                <w:b w:val="0"/>
                <w:color w:val="000000"/>
                <w:sz w:val="21"/>
              </w:rPr>
              <w:t>An analytical output produced by an AI system, such as a flagged item, a risk score, or a suggested conclusion, that a reviewer can accept, adjust, or reject.</w:t>
            </w:r>
          </w:p>
        </w:tc>
      </w:tr>
    </w:tbl>
    <w:p>
      <w:r>
        <w:br w:type="page"/>
      </w:r>
    </w:p>
    <w:p>
      <w:pPr>
        <w:pStyle w:val="Heading2"/>
      </w:pPr>
      <w:r>
        <w:rPr>
          <w:rFonts w:ascii="Times New Roman" w:hAnsi="Times New Roman" w:cs="Times New Roman" w:eastAsia="Times New Roman"/>
          <w:b/>
          <w:color w:val="000000"/>
          <w:sz w:val="26"/>
        </w:rPr>
        <w:t>6. Where This Study Sits in the Larger Programme</w:t>
      </w:r>
    </w:p>
    <w:p>
      <w:pPr>
        <w:spacing w:line="480" w:lineRule="auto" w:after="160"/>
        <w:jc w:val="both"/>
      </w:pPr>
      <w:r>
        <w:rPr>
          <w:rFonts w:ascii="Times New Roman" w:hAnsi="Times New Roman" w:cs="Times New Roman" w:eastAsia="Times New Roman"/>
          <w:color w:val="000000"/>
          <w:sz w:val="24"/>
        </w:rPr>
        <w:t>This proposal is the qualitative arm of a research programme that began as a quantitative dissertation study. That study specified eleven constructs and a fifty-five-item survey instrument examining organisational interventions against anchoring bias in long-term audit engagements. When fielded, it established that the eligible population is roughly six per hundred thousand: a commercial research panel of 334,976 members returned about twenty eligible participants. The same population that could not support a survey of one hundred can support an interview study of ten to fifteen, which is the study proposed here.</w:t>
      </w:r>
    </w:p>
    <w:p>
      <w:pPr>
        <w:spacing w:line="480" w:lineRule="auto" w:after="160"/>
        <w:jc w:val="both"/>
      </w:pPr>
      <w:r>
        <w:rPr>
          <w:rFonts w:ascii="Times New Roman" w:hAnsi="Times New Roman" w:cs="Times New Roman" w:eastAsia="Times New Roman"/>
          <w:color w:val="000000"/>
          <w:sz w:val="24"/>
        </w:rPr>
        <w:t>The programme argues a three-link chain, shown in Figure 1. The quantitative study addresses the first link by survey. This proposal addresses the second link by phenomenological interview. The third link is stated as future work and is not designed, because it requires longitudinal access to engagement files that does not currently exist.</w:t>
      </w:r>
    </w:p>
    <w:p>
      <w:pPr>
        <w:jc w:val="center"/>
      </w:pPr>
      <w:r>
        <w:drawing>
          <wp:inline xmlns:a="http://schemas.openxmlformats.org/drawingml/2006/main" xmlns:pic="http://schemas.openxmlformats.org/drawingml/2006/picture">
            <wp:extent cx="5852160" cy="1615382"/>
            <wp:docPr id="1" name="Picture 1" descr="Flow diagram of the three-link chain. An AI tool enters recurring review work. Link one: the system output becomes the anchor, arriving before the reviewer forms a view. Link two: the model confirms the position the reviewer has already stated rather than challenging it. Link three: successive models reprocess the same work and conclusions converge on each other rather than on evidence. Only link one is a human cognitive bias. This proposal addresses link two." title="Flow diagram of the three-link chain. An AI tool enters recurring review work. Link one: the system output becomes the anchor, arriving before the reviewer forms a view. Link two: the model confirms the position the reviewer has already stated rather than"/>
            <wp:cNvGraphicFramePr>
              <a:graphicFrameLocks noChangeAspect="1"/>
            </wp:cNvGraphicFramePr>
            <a:graphic>
              <a:graphicData uri="http://schemas.openxmlformats.org/drawingml/2006/picture">
                <pic:pic>
                  <pic:nvPicPr>
                    <pic:cNvPr id="0" name="fig_three_link_chain.png"/>
                    <pic:cNvPicPr/>
                  </pic:nvPicPr>
                  <pic:blipFill>
                    <a:blip r:embed="rId9"/>
                    <a:stretch>
                      <a:fillRect/>
                    </a:stretch>
                  </pic:blipFill>
                  <pic:spPr>
                    <a:xfrm>
                      <a:off x="0" y="0"/>
                      <a:ext cx="5852160" cy="1615382"/>
                    </a:xfrm>
                    <a:prstGeom prst="rect"/>
                  </pic:spPr>
                </pic:pic>
              </a:graphicData>
            </a:graphic>
          </wp:inline>
        </w:drawing>
      </w:r>
    </w:p>
    <w:p>
      <w:pPr>
        <w:spacing w:after="240" w:line="240" w:lineRule="auto"/>
        <w:jc w:val="center"/>
      </w:pPr>
      <w:r>
        <w:rPr>
          <w:rFonts w:ascii="Times New Roman" w:hAnsi="Times New Roman" w:cs="Times New Roman" w:eastAsia="Times New Roman"/>
          <w:i/>
          <w:color w:val="000000"/>
          <w:sz w:val="21"/>
        </w:rPr>
        <w:t>Figure 1. The three-link chain. Only the first link is a human cognitive bias. This proposal addresses the second link.</w:t>
      </w:r>
    </w:p>
    <w:p>
      <w:pPr>
        <w:spacing w:line="480" w:lineRule="auto" w:after="160"/>
        <w:jc w:val="both"/>
      </w:pPr>
      <w:r>
        <w:rPr>
          <w:rFonts w:ascii="Times New Roman" w:hAnsi="Times New Roman" w:cs="Times New Roman" w:eastAsia="Times New Roman"/>
          <w:color w:val="000000"/>
          <w:sz w:val="24"/>
        </w:rPr>
        <w:t>The full programme, including the quantitative model, the data record, the feasibility finding, and the current status of each arm, is public at auditingai.github.io/research.html. The complete qualitative design behind this introduction (the interview protocol, sampling plan, coding plan, trustworthiness criteria, and an append-only audit trail) is in the project repository under dba/QUALITATIVE at github.com/AuditingAI/Profile. Nothing in either location contains participant data; no participant has been approached.</w:t>
      </w:r>
    </w:p>
    <w:p>
      <w:pPr>
        <w:pStyle w:val="Heading2"/>
      </w:pPr>
      <w:r>
        <w:rPr>
          <w:rFonts w:ascii="Times New Roman" w:hAnsi="Times New Roman" w:cs="Times New Roman" w:eastAsia="Times New Roman"/>
          <w:b/>
          <w:color w:val="000000"/>
          <w:sz w:val="26"/>
        </w:rPr>
        <w:t>7. Anticipated Questions for Peer Review</w:t>
      </w:r>
    </w:p>
    <w:p>
      <w:pPr>
        <w:spacing w:line="480" w:lineRule="auto" w:after="160"/>
        <w:jc w:val="both"/>
      </w:pPr>
      <w:r>
        <w:rPr>
          <w:rFonts w:ascii="Times New Roman" w:hAnsi="Times New Roman" w:cs="Times New Roman" w:eastAsia="Times New Roman"/>
          <w:color w:val="000000"/>
          <w:sz w:val="24"/>
        </w:rPr>
        <w:t>The peer review for this memo examines alignment among the research problem, purpose, and research question. The questions below are the ones I would ask of this draft myself, with the reasoning behind each choice, so that a reviewer can test the alignment directly rather than reconstruct it.</w:t>
      </w:r>
    </w:p>
    <w:p>
      <w:pPr>
        <w:spacing w:line="480" w:lineRule="auto" w:after="160"/>
        <w:jc w:val="both"/>
      </w:pPr>
      <w:r>
        <w:rPr>
          <w:rFonts w:ascii="Times New Roman" w:hAnsi="Times New Roman" w:cs="Times New Roman" w:eastAsia="Times New Roman"/>
          <w:b/>
          <w:i w:val="0"/>
          <w:color w:val="000000"/>
          <w:sz w:val="24"/>
        </w:rPr>
        <w:t>Why phenomenology rather than grounded theory or case study?</w:t>
      </w:r>
      <w:r>
        <w:rPr>
          <w:rFonts w:ascii="Times New Roman" w:hAnsi="Times New Roman" w:cs="Times New Roman" w:eastAsia="Times New Roman"/>
          <w:color w:val="000000"/>
          <w:sz w:val="24"/>
        </w:rPr>
        <w:t xml:space="preserve"> The research question asks what an experience is like and how it is made sense of. That is the question phenomenology is built to answer. Grounded theory would commit the study to generating a theory it is not yet positioned to generate. Case study would require a bounded site, and this study has none.</w:t>
      </w:r>
    </w:p>
    <w:p>
      <w:pPr>
        <w:spacing w:line="480" w:lineRule="auto" w:after="160"/>
        <w:jc w:val="both"/>
      </w:pPr>
      <w:r>
        <w:rPr>
          <w:rFonts w:ascii="Times New Roman" w:hAnsi="Times New Roman" w:cs="Times New Roman" w:eastAsia="Times New Roman"/>
          <w:b/>
          <w:i w:val="0"/>
          <w:color w:val="000000"/>
          <w:sz w:val="24"/>
        </w:rPr>
        <w:t>Why is there no named site or organisation?</w:t>
      </w:r>
      <w:r>
        <w:rPr>
          <w:rFonts w:ascii="Times New Roman" w:hAnsi="Times New Roman" w:cs="Times New Roman" w:eastAsia="Times New Roman"/>
          <w:color w:val="000000"/>
          <w:sz w:val="24"/>
        </w:rPr>
        <w:t xml:space="preserve"> Phenomenology studies a phenomenon across the people who have experienced it, wherever they sit. The site is the shared professional context: internal auditors with recurring engagement responsibility and direct exposure to AI-generated output. This was confirmed as acceptable for the proposal by the course instructor.</w:t>
      </w:r>
    </w:p>
    <w:p>
      <w:pPr>
        <w:spacing w:line="480" w:lineRule="auto" w:after="160"/>
        <w:jc w:val="both"/>
      </w:pPr>
      <w:r>
        <w:rPr>
          <w:rFonts w:ascii="Times New Roman" w:hAnsi="Times New Roman" w:cs="Times New Roman" w:eastAsia="Times New Roman"/>
          <w:b/>
          <w:i w:val="0"/>
          <w:color w:val="000000"/>
          <w:sz w:val="24"/>
        </w:rPr>
        <w:t>Why does the purpose statement say receiving rather than relying on?</w:t>
      </w:r>
      <w:r>
        <w:rPr>
          <w:rFonts w:ascii="Times New Roman" w:hAnsi="Times New Roman" w:cs="Times New Roman" w:eastAsia="Times New Roman"/>
          <w:color w:val="000000"/>
          <w:sz w:val="24"/>
        </w:rPr>
        <w:t xml:space="preserve"> An earlier draft said relying on. That wording assumed the finding before any data existed: it treated reliance as the phenomenon rather than as one of several possible responses. The revised wording keeps the purpose open to whatever participants report, which could be deference, skepticism, further checking, or something not yet anticipated. This is the alignment the assignment asks a reviewer to test: the problem describes a gap in what is understood about the experience, the purpose studies the experience, and the question asks about the experience without pre-specifying the answer.</w:t>
      </w:r>
    </w:p>
    <w:p>
      <w:pPr>
        <w:spacing w:line="480" w:lineRule="auto" w:after="160"/>
        <w:jc w:val="both"/>
      </w:pPr>
      <w:r>
        <w:rPr>
          <w:rFonts w:ascii="Times New Roman" w:hAnsi="Times New Roman" w:cs="Times New Roman" w:eastAsia="Times New Roman"/>
          <w:b/>
          <w:i w:val="0"/>
          <w:color w:val="000000"/>
          <w:sz w:val="24"/>
        </w:rPr>
        <w:t>How does this relate to the quantitative dissertation?</w:t>
      </w:r>
      <w:r>
        <w:rPr>
          <w:rFonts w:ascii="Times New Roman" w:hAnsi="Times New Roman" w:cs="Times New Roman" w:eastAsia="Times New Roman"/>
          <w:color w:val="000000"/>
          <w:sz w:val="24"/>
        </w:rPr>
        <w:t xml:space="preserve"> They address different links in the same chain, and different kinds of question. The dissertation asks how much, by survey. This proposal asks how, by interview. The two are designed to inform each other rather than to substitute for each other, and the course proposal is not required to match the dissertation's central question word for word.</w:t>
      </w:r>
    </w:p>
    <w:p>
      <w:pPr>
        <w:spacing w:line="480" w:lineRule="auto" w:after="160"/>
        <w:jc w:val="both"/>
      </w:pPr>
      <w:r>
        <w:rPr>
          <w:rFonts w:ascii="Times New Roman" w:hAnsi="Times New Roman" w:cs="Times New Roman" w:eastAsia="Times New Roman"/>
          <w:b/>
          <w:i w:val="0"/>
          <w:color w:val="000000"/>
          <w:sz w:val="24"/>
        </w:rPr>
        <w:t>Is the researcher too close to the subject?</w:t>
      </w:r>
      <w:r>
        <w:rPr>
          <w:rFonts w:ascii="Times New Roman" w:hAnsi="Times New Roman" w:cs="Times New Roman" w:eastAsia="Times New Roman"/>
          <w:color w:val="000000"/>
          <w:sz w:val="24"/>
        </w:rPr>
        <w:t xml:space="preserve"> Yes, and that is stated rather than hidden. Fifteen years in audit gives access and vocabulary, and it also gives a prior belief that the phenomenon is real. The confirmation hazard log in the design is the control: every occasion on which the researcher notices feeling confirmed by a participant is recorded, because a researcher who feels validated by an auditor describing exactly the deference his own model predicts is experiencing the phenomenon under study, inside the study.</w:t>
      </w:r>
    </w:p>
    <w:p>
      <w:pPr>
        <w:spacing w:line="480" w:lineRule="auto" w:after="160"/>
        <w:jc w:val="both"/>
      </w:pPr>
      <w:r>
        <w:rPr>
          <w:rFonts w:ascii="Times New Roman" w:hAnsi="Times New Roman" w:cs="Times New Roman" w:eastAsia="Times New Roman"/>
          <w:b/>
          <w:i w:val="0"/>
          <w:color w:val="000000"/>
          <w:sz w:val="24"/>
        </w:rPr>
        <w:t>Why interviews only, with no triangulation?</w:t>
      </w:r>
      <w:r>
        <w:rPr>
          <w:rFonts w:ascii="Times New Roman" w:hAnsi="Times New Roman" w:cs="Times New Roman" w:eastAsia="Times New Roman"/>
          <w:color w:val="000000"/>
          <w:sz w:val="24"/>
        </w:rPr>
        <w:t xml:space="preserve"> Because the phenomenon is a subjective experience, and the first-person account is the data rather than a proxy for something more objective behind it. A second source would be appropriate if the study were testing whether reliance occurred. It is not. It is asking what the experience of confirmation is like.</w:t>
      </w:r>
    </w:p>
    <w:p>
      <w:pPr>
        <w:spacing w:line="480" w:lineRule="auto" w:after="160"/>
        <w:jc w:val="both"/>
      </w:pPr>
      <w:r>
        <w:rPr>
          <w:rFonts w:ascii="Times New Roman" w:hAnsi="Times New Roman" w:cs="Times New Roman" w:eastAsia="Times New Roman"/>
          <w:b/>
          <w:i w:val="0"/>
          <w:color w:val="000000"/>
          <w:sz w:val="24"/>
        </w:rPr>
        <w:t>Why ten to fifteen participants?</w:t>
      </w:r>
      <w:r>
        <w:rPr>
          <w:rFonts w:ascii="Times New Roman" w:hAnsi="Times New Roman" w:cs="Times New Roman" w:eastAsia="Times New Roman"/>
          <w:color w:val="000000"/>
          <w:sz w:val="24"/>
        </w:rPr>
        <w:t xml:space="preserve"> Because saturation is the stopping rule, and in a phenomenological design with a narrowly defined population, prior work and the course text both place saturation in that range. The number is stated as a plan, not a promise. Collection stops when three consecutive interviews produce no new meaning unit.</w:t>
      </w:r>
    </w:p>
    <w:p>
      <w:pPr>
        <w:spacing w:line="480" w:lineRule="auto" w:after="160"/>
        <w:jc w:val="both"/>
      </w:pPr>
      <w:r>
        <w:rPr>
          <w:rFonts w:ascii="Times New Roman" w:hAnsi="Times New Roman" w:cs="Times New Roman" w:eastAsia="Times New Roman"/>
          <w:b/>
          <w:i w:val="0"/>
          <w:color w:val="000000"/>
          <w:sz w:val="24"/>
        </w:rPr>
        <w:t>What is the ethics status?</w:t>
      </w:r>
      <w:r>
        <w:rPr>
          <w:rFonts w:ascii="Times New Roman" w:hAnsi="Times New Roman" w:cs="Times New Roman" w:eastAsia="Times New Roman"/>
          <w:color w:val="000000"/>
          <w:sz w:val="24"/>
        </w:rPr>
        <w:t xml:space="preserve"> The existing approval, IRB-25-0462, covers an anonymous online survey. An interview arm with audio recording and identifiable participants requires either a modification or a new protocol, and that has not yet been submitted. No participant may be approached until it is. This proposal is a design; it does not collect data.</w:t>
      </w:r>
    </w:p>
    <w:p>
      <w:pPr>
        <w:pStyle w:val="Heading2"/>
      </w:pPr>
      <w:r>
        <w:rPr>
          <w:rFonts w:ascii="Times New Roman" w:hAnsi="Times New Roman" w:cs="Times New Roman" w:eastAsia="Times New Roman"/>
          <w:b/>
          <w:color w:val="000000"/>
          <w:sz w:val="26"/>
        </w:rPr>
        <w:t>Reference</w:t>
      </w:r>
    </w:p>
    <w:p>
      <w:pPr>
        <w:spacing w:line="480" w:lineRule="auto" w:after="160"/>
        <w:jc w:val="both"/>
      </w:pPr>
      <w:r>
        <w:rPr>
          <w:rFonts w:ascii="Times New Roman" w:hAnsi="Times New Roman" w:cs="Times New Roman" w:eastAsia="Times New Roman"/>
          <w:color w:val="000000"/>
          <w:sz w:val="24"/>
        </w:rPr>
        <w:t>Tversky, A., &amp; Kahneman, D. (1974). Judgment under uncertainty: Heuristics and biases. Science, 185(4157), 1124-1131.</w:t>
      </w:r>
    </w:p>
    <w:p>
      <w:pPr>
        <w:pStyle w:val="Heading2"/>
      </w:pPr>
      <w:r>
        <w:rPr>
          <w:rFonts w:ascii="Times New Roman" w:hAnsi="Times New Roman" w:cs="Times New Roman" w:eastAsia="Times New Roman"/>
          <w:b/>
          <w:color w:val="000000"/>
          <w:sz w:val="26"/>
        </w:rPr>
        <w:t>Disclosure of Artificial Intelligence Use</w:t>
      </w:r>
    </w:p>
    <w:p>
      <w:pPr>
        <w:spacing w:line="480" w:lineRule="auto" w:after="160"/>
        <w:jc w:val="both"/>
      </w:pPr>
      <w:r>
        <w:rPr>
          <w:rFonts w:ascii="Times New Roman" w:hAnsi="Times New Roman" w:cs="Times New Roman" w:eastAsia="Times New Roman"/>
          <w:color w:val="000000"/>
          <w:sz w:val="24"/>
        </w:rPr>
        <w:t>AI (Claude) was used to organise this document against the assignment's prescribed components, to draft the terminology definitions and Figure 1, and to draft the structural language of Sections 6 and 7 from decisions already documented in my own research protocol. The research problem, purpose statement, research question, interpretive framework and assumptions, positionality reflection, and every methodological decision described in this document are my own. I have reviewed and revised all AI-assisted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60"/>
    </w:pPr>
    <w:rPr>
      <w:rFonts w:ascii="Times New Roman" w:hAnsi="Times New Roman" w:cs="Times New Roman" w:eastAsia="Times New Roman"/>
      <w:color w:val="000000"/>
      <w:sz w:val="24"/>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Memo 4 · Proposal Introduction</dc:title>
  <dc:subject>Working Draft</dc:subject>
  <dc:creator>Yasir A.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