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Website Content Kit — Yasir A. Malik / Audit the Algorithm</w:t>
      </w:r>
    </w:p>
    <w:p>
      <w:r>
        <w:rPr>
          <w:b/>
        </w:rPr>
        <w:t>Rule for everything below: every claim is verifiable.</w:t>
      </w:r>
      <w:r>
        <w:t xml:space="preserve"> Items in [BRACKETS] need your confirmation before publishing. Nothing here credits an AI vendor or implies a partnership that doesn't exist — the strength of the positioning is that </w:t>
      </w:r>
      <w:r>
        <w:rPr>
          <w:i/>
        </w:rPr>
        <w:t>you</w:t>
      </w:r>
      <w:r>
        <w:t xml:space="preserve"> did the work.</w:t>
      </w:r>
    </w:p>
    <w:p>
      <w:r>
        <w:br/>
      </w:r>
    </w:p>
    <w:p>
      <w:pPr>
        <w:pStyle w:val="Heading2"/>
      </w:pPr>
      <w:r>
        <w:t>1 · Positioning — the one-sentence version</w:t>
      </w:r>
    </w:p>
    <w:p>
      <w:pPr>
        <w:ind w:left="432"/>
      </w:pPr>
      <w:r>
        <w:rPr>
          <w:b/>
        </w:rPr>
        <w:t>Three things almost nobody in AI governance can claim together: I examined banks as a regulator, I ran audits inside two of them, and I built and shipped an AI tool into a live audit function. Now I research where that technology quietly breaks professional judgment.</w:t>
      </w:r>
    </w:p>
    <w:p>
      <w:r>
        <w:rPr>
          <w:b/>
        </w:rPr>
        <w:t>Shorter, for a hero line:</w:t>
      </w:r>
    </w:p>
    <w:p>
      <w:pPr>
        <w:ind w:left="432"/>
      </w:pPr>
      <w:r>
        <w:t>Bank examiner. Audit executive. AI builder. Now researching how AI reshapes professional judgment — and what governance actually has to catch.</w:t>
      </w:r>
    </w:p>
    <w:p>
      <w:r>
        <w:rPr>
          <w:b/>
        </w:rPr>
        <w:t>Bio (100 words, for speaker pages and LinkedIn):</w:t>
      </w:r>
    </w:p>
    <w:p>
      <w:pPr>
        <w:ind w:left="432"/>
      </w:pPr>
      <w:r>
        <w:t>Yasir A. Malik is a doctoral researcher and practitioner in audit, risk, and AI governance. Over fifteen years he led internal audit and risk work at Citigroup and JPMorgan Chase, following service as a bank examiner with the OCC and state regulators. At Citi he built and deployed a retrieval-augmented AI assistant into the audit function, cutting review cycle time by roughly 35%, and proposed an AI governance framework grounded in the NIST AI Risk Management Framework and SR 11-7. His doctoral research at Florida International University examines cognitive bias in audit judgment — and what happens to that judgment when AI systems enter the workflow.</w:t>
      </w:r>
    </w:p>
    <w:p>
      <w:r>
        <w:br/>
      </w:r>
    </w:p>
    <w:p>
      <w:pPr>
        <w:pStyle w:val="Heading2"/>
      </w:pPr>
      <w:r>
        <w:t>2 · The research — what actually exists, stated accurately</w:t>
      </w:r>
    </w:p>
    <w:p>
      <w:r>
        <w:rPr>
          <w:b/>
        </w:rPr>
        <w:t>Completed and passed (July 2026): DBA qualifying examination</w:t>
      </w:r>
      <w:r>
        <w:t>, Florida International University.</w:t>
      </w:r>
    </w:p>
    <w:p>
      <w:r>
        <w:rPr>
          <w:i/>
        </w:rPr>
        <w:t>Mitigating Anchoring Bias in Long-Term Auditor Engagements</w:t>
      </w:r>
      <w:r>
        <w:t xml:space="preserve"> — an eleven-construct, fifty-five-item measurement model with sixteen hypotheses, grounded in dual-process theory and the anchoring-and-adjustment heuristic. IRB-approved (IRB-25-0462), instrument fielded, complete analytic protocol specified from exploratory factor analysis through structural modeling.</w:t>
      </w:r>
    </w:p>
    <w:p>
      <w:r>
        <w:rPr>
          <w:b/>
        </w:rPr>
        <w:t>The model in plain language:</w:t>
      </w:r>
      <w:r>
        <w:t xml:space="preserve"> eight organizational practices that should disrupt anchoring — training and awareness, auditor rotation, analytical tools, structured processes, feedback and reflection, independent review, regulatory guidance, and performance incentives — operating through two mechanisms (the quality of the auditor's judgment, and the rigor of the audit process) toward one outcome: judgments driven by current evidence rather than last year's number.</w:t>
      </w:r>
    </w:p>
    <w:p>
      <w:r>
        <w:rPr>
          <w:b/>
        </w:rPr>
        <w:t>Faculty assessment, quotable:</w:t>
      </w:r>
    </w:p>
    <w:p>
      <w:pPr>
        <w:ind w:left="432"/>
      </w:pPr>
      <w:r>
        <w:rPr>
          <w:i/>
        </w:rPr>
        <w:t>"Your reflection on the challenges encountered during the study… demonstrates sound research judgment."</w:t>
      </w:r>
      <w:r>
        <w:t xml:space="preserve"> — Dr. Juan C. Rey, FIU College of Business, final evaluation of the qualifying examination.</w:t>
      </w:r>
    </w:p>
    <w:p>
      <w:r>
        <w:rPr>
          <w:b/>
        </w:rPr>
        <w:t>Honest framing of the empirical result</w:t>
      </w:r>
      <w:r>
        <w:t xml:space="preserve"> (use this — it is more credible than hiding it, and it </w:t>
      </w:r>
      <w:r>
        <w:rPr>
          <w:i/>
        </w:rPr>
        <w:t>is</w:t>
      </w:r>
      <w:r>
        <w:t xml:space="preserve"> the finding):</w:t>
      </w:r>
    </w:p>
    <w:p>
      <w:pPr>
        <w:ind w:left="432"/>
      </w:pPr>
      <w:r>
        <w:t>The study reached feasibility, not validation. Recruiting the target population proved structurally impossible: applying the eligibility criteria to a research panel of over 330,000 participants returned roughly twenty eligible people — about six in one hundred thousand. That result reframed the work as a feasibility study and produced its most useful contribution: evidence that specialist professional populations cannot be reached through standard research infrastructure at any price.</w:t>
      </w:r>
    </w:p>
    <w:p>
      <w:r>
        <w:rPr>
          <w:b/>
        </w:rPr>
        <w:t>Current research direction (in development — say "in development", not "findings"):</w:t>
      </w:r>
    </w:p>
    <w:p>
      <w:pPr>
        <w:ind w:left="432"/>
      </w:pPr>
      <w:r>
        <w:t>How AI and large language models interact with professional judgment in recurring review work. The chain under investigation: system-generated output becomes the anchor itself — automated, continuous, at scale; the model then tends to confirm the position a user has already stated rather than challenge it; and as successive models reprocess the same work, conclusions converge on each other rather than on evidence.</w:t>
      </w:r>
    </w:p>
    <w:p>
      <w:r>
        <w:br/>
      </w:r>
    </w:p>
    <w:p>
      <w:pPr>
        <w:pStyle w:val="Heading2"/>
      </w:pPr>
      <w:r>
        <w:t>3 · Services / partnering — what you can credibly offer today</w:t>
      </w:r>
    </w:p>
    <w:p>
      <w:r>
        <w:rPr>
          <w:b/>
        </w:rPr>
        <w:t>Audit the Algorithm — governance-first AI advisory.</w:t>
      </w:r>
    </w:p>
    <w:p>
      <w:r>
        <w:t>| Offer | What it is | Who buys it | Why you |</w:t>
      </w:r>
    </w:p>
    <w:p>
      <w:r>
        <w:t>|---|---|---|---|</w:t>
      </w:r>
    </w:p>
    <w:p>
      <w:r>
        <w:t xml:space="preserve">| </w:t>
      </w:r>
      <w:r>
        <w:rPr>
          <w:b/>
        </w:rPr>
        <w:t>AI governance readiness review</w:t>
      </w:r>
      <w:r>
        <w:t xml:space="preserve"> | Assess an organization's AI use against NIST AI RMF and, for models, SR 11-7 — inventory, documentation, human-oversight design, evidence trail | Banks, insurers, asset managers, regulated mid-market | You have proposed exactly this framework inside a G-SIB |</w:t>
      </w:r>
    </w:p>
    <w:p>
      <w:r>
        <w:t xml:space="preserve">| </w:t>
      </w:r>
      <w:r>
        <w:rPr>
          <w:b/>
        </w:rPr>
        <w:t>Human-oversight design for AI-assisted review</w:t>
      </w:r>
      <w:r>
        <w:t xml:space="preserve"> | Where reliance is calibrated correctly and where it quietly isn't — reviewer workflow, challenge points, documentation standards | Internal audit, risk, compliance functions adopting AI tools | This is literally your research question |</w:t>
      </w:r>
    </w:p>
    <w:p>
      <w:r>
        <w:t xml:space="preserve">| </w:t>
      </w:r>
      <w:r>
        <w:rPr>
          <w:b/>
        </w:rPr>
        <w:t>Audit-function AI enablement</w:t>
      </w:r>
      <w:r>
        <w:t xml:space="preserve"> | Scoping and building AI assistance into audit workflow, with controls designed in from the start | CAEs and audit directors under efficiency pressure | You built and shipped one — 35% cycle-time reduction |</w:t>
      </w:r>
    </w:p>
    <w:p>
      <w:r>
        <w:t xml:space="preserve">| </w:t>
      </w:r>
      <w:r>
        <w:rPr>
          <w:b/>
        </w:rPr>
        <w:t>Regulator-readiness translation</w:t>
      </w:r>
      <w:r>
        <w:t xml:space="preserve"> | Preparing AI-related documentation and narratives for examination scrutiny | Firms anticipating supervisory questions on AI | Former examiner: you have sat on the other side of the table |</w:t>
      </w:r>
    </w:p>
    <w:p>
      <w:r>
        <w:t xml:space="preserve">| </w:t>
      </w:r>
      <w:r>
        <w:rPr>
          <w:b/>
        </w:rPr>
        <w:t>Workshops / guest lectures</w:t>
      </w:r>
      <w:r>
        <w:t xml:space="preserve"> | Cognitive bias in professional judgment; AI over-reliance and automation bias; anchoring in recurring engagements | Professional bodies, firm training programs, universities | Practitioner credibility plus doctoral research |</w:t>
      </w:r>
    </w:p>
    <w:p>
      <w:r>
        <w:rPr>
          <w:b/>
        </w:rPr>
        <w:t>Partnering angles worth pursuing</w:t>
      </w:r>
      <w:r>
        <w:t xml:space="preserve"> (each is a real, checkable opening — not a claim):</w:t>
      </w:r>
    </w:p>
    <w:p>
      <w:pPr>
        <w:pStyle w:val="ListNumber"/>
      </w:pPr>
      <w:r>
        <w:rPr>
          <w:b/>
        </w:rPr>
        <w:t>Professional bodies</w:t>
      </w:r>
      <w:r>
        <w:t xml:space="preserve"> — IIA, ISACA, AICPA chapters: content partnership on AI governance for practitioners. They need practitioner-researchers; you are one.</w:t>
      </w:r>
    </w:p>
    <w:p>
      <w:pPr>
        <w:pStyle w:val="ListNumber"/>
      </w:pPr>
      <w:r>
        <w:rPr>
          <w:b/>
        </w:rPr>
        <w:t>Universities</w:t>
      </w:r>
      <w:r>
        <w:t xml:space="preserve"> — guest lecture, adjunct, or case-material collaboration. Your Rutgers and FIU paths are already open.</w:t>
      </w:r>
    </w:p>
    <w:p>
      <w:pPr>
        <w:pStyle w:val="ListNumber"/>
      </w:pPr>
      <w:r>
        <w:rPr>
          <w:b/>
        </w:rPr>
        <w:t>Audit software / GRC vendors</w:t>
      </w:r>
      <w:r>
        <w:t xml:space="preserve"> — advisory or research collaboration on responsible-AI features. They need credibility with regulated buyers.</w:t>
      </w:r>
    </w:p>
    <w:p>
      <w:pPr>
        <w:pStyle w:val="ListNumber"/>
      </w:pPr>
      <w:r>
        <w:rPr>
          <w:b/>
        </w:rPr>
        <w:t>Research collaboration</w:t>
      </w:r>
      <w:r>
        <w:t xml:space="preserve"> — your dissertation needs a large professional sample; firms and associations need to understand AI risk in their own functions. That is a genuine two-way trade: they get findings about their people, you get the sample.</w:t>
      </w:r>
    </w:p>
    <w:p>
      <w:pPr>
        <w:pStyle w:val="ListNumber"/>
      </w:pPr>
      <w:r>
        <w:rPr>
          <w:b/>
        </w:rPr>
        <w:t>Regulator and standard-setter engagement</w:t>
      </w:r>
      <w:r>
        <w:t xml:space="preserve"> — comment letters and working groups on AI in audit (PCAOB and IAASB are both actively consulting).</w:t>
      </w:r>
    </w:p>
    <w:p>
      <w:r>
        <w:br/>
      </w:r>
    </w:p>
    <w:p>
      <w:pPr>
        <w:pStyle w:val="Heading2"/>
      </w:pPr>
      <w:r>
        <w:t>4 · Proof points (all verifiable — no embellishment)</w:t>
      </w:r>
    </w:p>
    <w:p>
      <w:pPr>
        <w:pStyle w:val="ListBullet"/>
      </w:pPr>
      <w:r>
        <w:t xml:space="preserve">Fifteen years in audit and risk at </w:t>
      </w:r>
      <w:r>
        <w:rPr>
          <w:b/>
        </w:rPr>
        <w:t>Citigroup</w:t>
      </w:r>
      <w:r>
        <w:t xml:space="preserve"> and </w:t>
      </w:r>
      <w:r>
        <w:rPr>
          <w:b/>
        </w:rPr>
        <w:t>JPMorgan Chase</w:t>
      </w:r>
    </w:p>
    <w:p>
      <w:pPr>
        <w:pStyle w:val="ListBullet"/>
      </w:pPr>
      <w:r>
        <w:rPr>
          <w:b/>
        </w:rPr>
        <w:t>Bank examiner</w:t>
      </w:r>
      <w:r>
        <w:t xml:space="preserve"> — OCC and Florida Office of Financial Regulation [CONFIRM final agency wording]</w:t>
      </w:r>
    </w:p>
    <w:p>
      <w:pPr>
        <w:pStyle w:val="ListBullet"/>
      </w:pPr>
      <w:r>
        <w:t xml:space="preserve">Built and deployed a </w:t>
      </w:r>
      <w:r>
        <w:rPr>
          <w:b/>
        </w:rPr>
        <w:t>production RAG assistant</w:t>
      </w:r>
      <w:r>
        <w:t xml:space="preserve"> in Citi's audit function — </w:t>
      </w:r>
      <w:r>
        <w:rPr>
          <w:b/>
        </w:rPr>
        <w:t>~35% review cycle-time reduction</w:t>
      </w:r>
    </w:p>
    <w:p>
      <w:pPr>
        <w:pStyle w:val="ListBullet"/>
      </w:pPr>
      <w:r>
        <w:t xml:space="preserve">Proposed an </w:t>
      </w:r>
      <w:r>
        <w:rPr>
          <w:b/>
        </w:rPr>
        <w:t>AI governance framework</w:t>
      </w:r>
      <w:r>
        <w:t xml:space="preserve"> referencing </w:t>
      </w:r>
      <w:r>
        <w:rPr>
          <w:b/>
        </w:rPr>
        <w:t>NIST AI RMF</w:t>
      </w:r>
      <w:r>
        <w:t xml:space="preserve"> and </w:t>
      </w:r>
      <w:r>
        <w:rPr>
          <w:b/>
        </w:rPr>
        <w:t>SR 11-7</w:t>
      </w:r>
      <w:r>
        <w:t xml:space="preserve"> for an internal governance team</w:t>
      </w:r>
    </w:p>
    <w:p>
      <w:pPr>
        <w:pStyle w:val="ListBullet"/>
      </w:pPr>
      <w:r>
        <w:t xml:space="preserve">Led the firm's </w:t>
      </w:r>
      <w:r>
        <w:rPr>
          <w:b/>
        </w:rPr>
        <w:t>Resolution and Recovery Planning</w:t>
      </w:r>
      <w:r>
        <w:t xml:space="preserve"> program at JPMorgan, coordinating 50+ stakeholders on Federal Reserve and FDIC submissions</w:t>
      </w:r>
    </w:p>
    <w:p>
      <w:pPr>
        <w:pStyle w:val="ListBullet"/>
      </w:pPr>
      <w:r>
        <w:t xml:space="preserve">Owned </w:t>
      </w:r>
      <w:r>
        <w:rPr>
          <w:b/>
        </w:rPr>
        <w:t>Basel III RWA</w:t>
      </w:r>
      <w:r>
        <w:t xml:space="preserve"> calculation and capital-adequacy reporting; identified </w:t>
      </w:r>
      <w:r>
        <w:rPr>
          <w:b/>
        </w:rPr>
        <w:t>$180M</w:t>
      </w:r>
      <w:r>
        <w:t xml:space="preserve"> in capital optimization</w:t>
      </w:r>
    </w:p>
    <w:p>
      <w:pPr>
        <w:pStyle w:val="ListBullet"/>
      </w:pPr>
      <w:r>
        <w:rPr>
          <w:b/>
        </w:rPr>
        <w:t>DBA qualifying examination passed</w:t>
      </w:r>
      <w:r>
        <w:t>, FIU, July 2026 — [CONFIRM expected completion year: official 2024–25 evaluation record indicates 2028 defense; resume states 2027]</w:t>
      </w:r>
    </w:p>
    <w:p>
      <w:pPr>
        <w:pStyle w:val="ListBullet"/>
      </w:pPr>
      <w:r>
        <w:rPr>
          <w:b/>
        </w:rPr>
        <w:t>MBA</w:t>
      </w:r>
      <w:r>
        <w:t xml:space="preserve">, Florida International University, 2011 · </w:t>
      </w:r>
      <w:r>
        <w:rPr>
          <w:b/>
        </w:rPr>
        <w:t>BSc Banking &amp; Finance</w:t>
      </w:r>
      <w:r>
        <w:t>, London School of Economics, 2005</w:t>
      </w:r>
    </w:p>
    <w:p>
      <w:pPr>
        <w:pStyle w:val="ListBullet"/>
      </w:pPr>
      <w:r>
        <w:rPr>
          <w:b/>
        </w:rPr>
        <w:t>Certifications:</w:t>
      </w:r>
      <w:r>
        <w:t xml:space="preserve"> FDIC Bank Examiner I · Registered Scrum Master · CITI human-subjects research (social/behavioral) [CONFIRM current list]</w:t>
      </w:r>
    </w:p>
    <w:p>
      <w:r>
        <w:br/>
      </w:r>
    </w:p>
    <w:p>
      <w:pPr>
        <w:pStyle w:val="Heading2"/>
      </w:pPr>
      <w:r>
        <w:t>5 · How to talk about AI on the site (this matters)</w:t>
      </w:r>
    </w:p>
    <w:p>
      <w:r>
        <w:rPr>
          <w:b/>
        </w:rPr>
        <w:t>Do say:</w:t>
      </w:r>
    </w:p>
    <w:p>
      <w:pPr>
        <w:pStyle w:val="ListBullet"/>
      </w:pPr>
      <w:r>
        <w:t>"I build with these tools daily and I research where they fail."</w:t>
      </w:r>
    </w:p>
    <w:p>
      <w:pPr>
        <w:pStyle w:val="ListBullet"/>
      </w:pPr>
      <w:r>
        <w:t>"My work uses AI for research assistance, analysis, and drafting support — the judgment, synthesis, and interpretation are mine."</w:t>
      </w:r>
    </w:p>
    <w:p>
      <w:pPr>
        <w:pStyle w:val="ListBullet"/>
      </w:pPr>
      <w:r>
        <w:t>Name tools as tools when relevant (Qualtrics, Jamovi, Python, LLM assistants), the way any researcher names instruments.</w:t>
      </w:r>
    </w:p>
    <w:p>
      <w:r>
        <w:rPr>
          <w:b/>
        </w:rPr>
        <w:t>Do not say:</w:t>
      </w:r>
    </w:p>
    <w:p>
      <w:pPr>
        <w:pStyle w:val="ListBullet"/>
      </w:pPr>
      <w:r>
        <w:t>"Validated by / partnered with / powered by" any AI vendor. You have no such relationship, and the claim would be checked.</w:t>
      </w:r>
    </w:p>
    <w:p>
      <w:pPr>
        <w:pStyle w:val="ListBullet"/>
      </w:pPr>
      <w:r>
        <w:t>Anything implying AI co-authorship of the research. Your faculty explicitly asked students to ensure their scholarly voice is their own; your site should reflect that standard.</w:t>
      </w:r>
    </w:p>
    <w:p>
      <w:r>
        <w:rPr>
          <w:b/>
        </w:rPr>
        <w:t>The strongest honest line about your AI use:</w:t>
      </w:r>
    </w:p>
    <w:p>
      <w:pPr>
        <w:ind w:left="432"/>
      </w:pPr>
      <w:r>
        <w:t>I use AI systems intensively — which is precisely why I study their failure modes. The risk I research is not hypothetical to me; it is the risk in my own workflow, managed deliberately.</w:t>
      </w:r>
    </w:p>
    <w:p>
      <w:r>
        <w:br/>
      </w:r>
    </w:p>
    <w:p>
      <w:pPr>
        <w:pStyle w:val="Heading2"/>
      </w:pPr>
      <w:r>
        <w:t>6 · Suggested site structure</w:t>
      </w:r>
    </w:p>
    <w:p>
      <w:pPr>
        <w:pStyle w:val="ListNumber"/>
      </w:pPr>
      <w:r>
        <w:rPr>
          <w:b/>
        </w:rPr>
        <w:t>Home</w:t>
      </w:r>
      <w:r>
        <w:t xml:space="preserve"> — the positioning line, three proof points, one call to action</w:t>
      </w:r>
    </w:p>
    <w:p>
      <w:pPr>
        <w:pStyle w:val="ListNumber"/>
      </w:pPr>
      <w:r>
        <w:rPr>
          <w:b/>
        </w:rPr>
        <w:t>Research</w:t>
      </w:r>
      <w:r>
        <w:t xml:space="preserve"> — the qualifying study, the model diagram, the current direction, the honest feasibility finding</w:t>
      </w:r>
    </w:p>
    <w:p>
      <w:pPr>
        <w:pStyle w:val="ListNumber"/>
      </w:pPr>
      <w:r>
        <w:rPr>
          <w:b/>
        </w:rPr>
        <w:t>Advisory</w:t>
      </w:r>
      <w:r>
        <w:t xml:space="preserve"> — the five offers above, with the regulated-industry framing</w:t>
      </w:r>
    </w:p>
    <w:p>
      <w:pPr>
        <w:pStyle w:val="ListNumber"/>
      </w:pPr>
      <w:r>
        <w:rPr>
          <w:b/>
        </w:rPr>
        <w:t>Writing / Speaking</w:t>
      </w:r>
      <w:r>
        <w:t xml:space="preserve"> — publications as they come, workshop topics now</w:t>
      </w:r>
    </w:p>
    <w:p>
      <w:pPr>
        <w:pStyle w:val="ListNumber"/>
      </w:pPr>
      <w:r>
        <w:rPr>
          <w:b/>
        </w:rPr>
        <w:t>About</w:t>
      </w:r>
      <w:r>
        <w:t xml:space="preserve"> — the bio, the examiner-to-executive-to-researcher arc</w:t>
      </w:r>
    </w:p>
    <w:p>
      <w:pPr>
        <w:pStyle w:val="ListNumber"/>
      </w:pPr>
      <w:r>
        <w:rPr>
          <w:b/>
        </w:rPr>
        <w:t>Contact</w:t>
      </w:r>
      <w:r>
        <w:t xml:space="preserve"> — one form, one email</w:t>
      </w:r>
    </w:p>
    <w:p>
      <w:r>
        <w:rPr>
          <w:b/>
        </w:rPr>
        <w:t>Assets you already have:</w:t>
      </w:r>
      <w:r>
        <w:t xml:space="preserve"> the research model figure, the dissertation-extension figure, the study overview document, the full manuscript, and the public project repository (a genuine differentiator — very few consultants can show their work in a timestamped public record).</w:t>
      </w:r>
    </w:p>
    <w:p>
      <w:r>
        <w:br/>
      </w:r>
    </w:p>
    <w:p>
      <w:pPr>
        <w:pStyle w:val="Heading2"/>
      </w:pPr>
      <w:r>
        <w:t>7 · Before publishing — verification checklist</w:t>
      </w:r>
    </w:p>
    <w:p>
      <w:pPr>
        <w:pStyle w:val="ListBullet"/>
      </w:pPr>
      <w:r>
        <w:t>[ ] DBA completion year — reconcile 2027 vs 2028 against the program office</w:t>
      </w:r>
    </w:p>
    <w:p>
      <w:pPr>
        <w:pStyle w:val="ListBullet"/>
      </w:pPr>
      <w:r>
        <w:t>[ ] GPA if stated anywhere — official record shows 3.81, resume states 3.87</w:t>
      </w:r>
    </w:p>
    <w:p>
      <w:pPr>
        <w:pStyle w:val="ListBullet"/>
      </w:pPr>
      <w:r>
        <w:t>[ ] Exact examiner agency and dates</w:t>
      </w:r>
    </w:p>
    <w:p>
      <w:pPr>
        <w:pStyle w:val="ListBullet"/>
      </w:pPr>
      <w:r>
        <w:t>[ ] Current certification list</w:t>
      </w:r>
    </w:p>
    <w:p>
      <w:pPr>
        <w:pStyle w:val="ListBullet"/>
      </w:pPr>
      <w:r>
        <w:t>[ ] Whether "Audit the Algorithm" is a registered entity or a working name — say "advisory practice" if not yet formed</w:t>
      </w:r>
    </w:p>
    <w:p>
      <w:pPr>
        <w:pStyle w:val="ListBullet"/>
      </w:pPr>
      <w:r>
        <w:t>[ ] Any client work must be described without identifying employers' confidential detail</w:t>
      </w:r>
    </w:p>
    <w:p>
      <w:pPr>
        <w:pStyle w:val="ListBullet"/>
      </w:pPr>
      <w:r>
        <w:t>[ ] Nothing implies the dissertation is complete, published, or that its extension has findings yet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